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BB0A86">
        <w:rPr>
          <w:rFonts w:ascii="Arial" w:hAnsi="Arial" w:cs="Arial"/>
          <w:b/>
          <w:bCs/>
          <w:sz w:val="28"/>
          <w:szCs w:val="28"/>
        </w:rPr>
        <w:t xml:space="preserve">HOUSEHOLDER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151757EF" w:rsidR="000E38BA" w:rsidRPr="00D068FB" w:rsidRDefault="00BB0A86" w:rsidP="00AE4D3F">
            <w:pPr>
              <w:spacing w:before="100" w:beforeAutospacing="1" w:after="100" w:afterAutospacing="1" w:line="276" w:lineRule="auto"/>
              <w:rPr>
                <w:rFonts w:ascii="Arial" w:hAnsi="Arial" w:cs="Arial"/>
                <w:sz w:val="22"/>
                <w:szCs w:val="22"/>
                <w:lang w:eastAsia="en-GB"/>
              </w:rPr>
            </w:pPr>
            <w:r w:rsidRPr="00D068FB">
              <w:rPr>
                <w:rFonts w:ascii="Arial" w:hAnsi="Arial" w:cs="Arial"/>
                <w:sz w:val="22"/>
                <w:szCs w:val="22"/>
                <w:lang w:eastAsia="en-GB"/>
              </w:rPr>
              <w:t>PL/2026/00977</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5223F50" w:rsidR="000E38BA" w:rsidRPr="00D068FB" w:rsidRDefault="00BB0A86" w:rsidP="00AE4D3F">
            <w:pPr>
              <w:spacing w:before="100" w:beforeAutospacing="1" w:after="100" w:afterAutospacing="1" w:line="276" w:lineRule="auto"/>
              <w:rPr>
                <w:rFonts w:ascii="Arial" w:hAnsi="Arial" w:cs="Arial"/>
                <w:sz w:val="22"/>
                <w:szCs w:val="22"/>
                <w:lang w:eastAsia="en-GB"/>
              </w:rPr>
            </w:pPr>
            <w:r w:rsidRPr="00D068FB">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6AC4E2F6" w:rsidR="000E38BA" w:rsidRPr="00D068FB" w:rsidRDefault="00D068FB" w:rsidP="00AE4D3F">
            <w:pPr>
              <w:spacing w:before="100" w:beforeAutospacing="1" w:after="100" w:afterAutospacing="1" w:line="276" w:lineRule="auto"/>
              <w:rPr>
                <w:rFonts w:ascii="Arial" w:hAnsi="Arial" w:cs="Arial"/>
                <w:b/>
                <w:bCs/>
                <w:sz w:val="22"/>
                <w:szCs w:val="22"/>
                <w:lang w:eastAsia="en-GB"/>
              </w:rPr>
            </w:pPr>
            <w:r w:rsidRPr="00D068FB">
              <w:rPr>
                <w:rFonts w:ascii="Arial" w:hAnsi="Arial" w:cs="Arial"/>
                <w:sz w:val="22"/>
                <w:szCs w:val="22"/>
                <w:lang w:eastAsia="en-GB"/>
              </w:rPr>
              <w:t>6 Carriers Close, Sherston, Malmesbury, SN16 0PG</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155BC164" w:rsidR="000E38BA" w:rsidRPr="00D068FB" w:rsidRDefault="00D068FB" w:rsidP="00AE4D3F">
            <w:pPr>
              <w:spacing w:before="100" w:beforeAutospacing="1" w:after="100" w:afterAutospacing="1" w:line="276" w:lineRule="auto"/>
              <w:rPr>
                <w:rFonts w:ascii="Arial" w:hAnsi="Arial" w:cs="Arial"/>
                <w:b/>
                <w:bCs/>
                <w:sz w:val="22"/>
                <w:szCs w:val="22"/>
                <w:lang w:eastAsia="en-GB"/>
              </w:rPr>
            </w:pPr>
            <w:r w:rsidRPr="00D068FB">
              <w:rPr>
                <w:rFonts w:ascii="Arial" w:hAnsi="Arial" w:cs="Arial"/>
                <w:sz w:val="22"/>
                <w:szCs w:val="22"/>
                <w:lang w:eastAsia="en-GB"/>
              </w:rPr>
              <w:t>Single storey side extension.</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51DF546" w:rsidR="000E38BA" w:rsidRDefault="00EC5894" w:rsidP="00EC5894">
      <w:pPr>
        <w:tabs>
          <w:tab w:val="left" w:pos="2520"/>
        </w:tabs>
        <w:jc w:val="center"/>
        <w:rPr>
          <w:rFonts w:ascii="Arial" w:hAnsi="Arial" w:cs="Arial"/>
          <w:bCs/>
          <w:sz w:val="22"/>
          <w:szCs w:val="22"/>
        </w:rPr>
      </w:pPr>
      <w:r w:rsidRPr="00EC5894">
        <w:rPr>
          <w:rFonts w:ascii="Arial" w:hAnsi="Arial" w:cs="Arial"/>
          <w:b/>
          <w:noProof/>
          <w:color w:val="FF0000"/>
          <w:sz w:val="22"/>
          <w:szCs w:val="22"/>
        </w:rPr>
        <w:drawing>
          <wp:inline distT="0" distB="0" distL="0" distR="0" wp14:anchorId="495778A3" wp14:editId="1D968ACB">
            <wp:extent cx="3194633" cy="2465222"/>
            <wp:effectExtent l="0" t="0" r="6350" b="0"/>
            <wp:docPr id="204757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71853" name=""/>
                    <pic:cNvPicPr/>
                  </pic:nvPicPr>
                  <pic:blipFill>
                    <a:blip r:embed="rId5"/>
                    <a:stretch>
                      <a:fillRect/>
                    </a:stretch>
                  </pic:blipFill>
                  <pic:spPr>
                    <a:xfrm>
                      <a:off x="0" y="0"/>
                      <a:ext cx="3228940" cy="2491696"/>
                    </a:xfrm>
                    <a:prstGeom prst="rect">
                      <a:avLst/>
                    </a:prstGeom>
                  </pic:spPr>
                </pic:pic>
              </a:graphicData>
            </a:graphic>
          </wp:inline>
        </w:drawing>
      </w:r>
    </w:p>
    <w:p w14:paraId="5D411031" w14:textId="77777777" w:rsidR="00EC5894" w:rsidRPr="004E7A6C" w:rsidRDefault="00EC5894" w:rsidP="00EC5894">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704B2554" w14:textId="77777777" w:rsidR="004C0D09" w:rsidRDefault="004C0D09" w:rsidP="00CC6665">
      <w:pPr>
        <w:pStyle w:val="NoSpacing"/>
        <w:spacing w:line="276" w:lineRule="auto"/>
        <w:rPr>
          <w:b/>
          <w:bCs/>
        </w:rPr>
      </w:pPr>
    </w:p>
    <w:p w14:paraId="53F593A5" w14:textId="064D3ABE" w:rsidR="004C0D09" w:rsidRDefault="00852B01" w:rsidP="00CC6665">
      <w:pPr>
        <w:pStyle w:val="NoSpacing"/>
        <w:spacing w:line="276" w:lineRule="auto"/>
      </w:pPr>
      <w:r w:rsidRPr="00852B01">
        <w:t>The proposal involves removing the existing small shed on the southern elevation and constructing a single</w:t>
      </w:r>
      <w:r w:rsidRPr="00852B01">
        <w:rPr>
          <w:rFonts w:ascii="Cambria Math" w:hAnsi="Cambria Math" w:cs="Cambria Math"/>
        </w:rPr>
        <w:t>‑</w:t>
      </w:r>
      <w:r w:rsidRPr="00852B01">
        <w:t>storey side extension along the boundary. The extension would provide a utility room accessed from the dining area and a separate garden store accessed externally. It would have rendered walls, an aluminium</w:t>
      </w:r>
      <w:r w:rsidRPr="00852B01">
        <w:rPr>
          <w:rFonts w:ascii="Cambria Math" w:hAnsi="Cambria Math" w:cs="Cambria Math"/>
        </w:rPr>
        <w:t>‑</w:t>
      </w:r>
      <w:r w:rsidRPr="00852B01">
        <w:t>edged flat roof</w:t>
      </w:r>
      <w:r w:rsidR="00374312">
        <w:t xml:space="preserve">. </w:t>
      </w:r>
      <w:r w:rsidRPr="00852B01">
        <w:t>No trees or boundary treatments are shown as being affected.</w:t>
      </w:r>
    </w:p>
    <w:p w14:paraId="0385E674" w14:textId="77777777" w:rsidR="00852B01" w:rsidRPr="00075C07" w:rsidRDefault="00852B01"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0BC0F73D" w14:textId="77777777" w:rsidR="00C77C50" w:rsidRDefault="00C77C50" w:rsidP="00CC6665">
      <w:pPr>
        <w:spacing w:line="276" w:lineRule="auto"/>
        <w:rPr>
          <w:rFonts w:ascii="Arial" w:hAnsi="Arial" w:cs="Arial"/>
          <w:color w:val="FF0000"/>
          <w:sz w:val="22"/>
          <w:szCs w:val="22"/>
        </w:rPr>
      </w:pPr>
    </w:p>
    <w:p w14:paraId="5A48F4A0" w14:textId="2F0F9AF6" w:rsidR="00374312" w:rsidRPr="00374312" w:rsidRDefault="00374312" w:rsidP="00374312">
      <w:pPr>
        <w:spacing w:line="276" w:lineRule="auto"/>
        <w:jc w:val="both"/>
        <w:rPr>
          <w:rFonts w:ascii="Arial" w:hAnsi="Arial" w:cs="Arial"/>
          <w:sz w:val="22"/>
          <w:szCs w:val="22"/>
        </w:rPr>
      </w:pPr>
      <w:r w:rsidRPr="00374312">
        <w:rPr>
          <w:rFonts w:ascii="Arial" w:hAnsi="Arial" w:cs="Arial"/>
          <w:sz w:val="22"/>
          <w:szCs w:val="22"/>
        </w:rPr>
        <w:t>The site consists of a modern detached dwelling within a uniform residential estate on the village edge, featuring stone at ground level, render above, slate roofing, and uPVC openings consistent with surrounding properties. The site sits within the Sher</w:t>
      </w:r>
      <w:r w:rsidR="00402DEE">
        <w:rPr>
          <w:rFonts w:ascii="Arial" w:hAnsi="Arial" w:cs="Arial"/>
          <w:sz w:val="22"/>
          <w:szCs w:val="22"/>
        </w:rPr>
        <w:t>s</w:t>
      </w:r>
      <w:r w:rsidRPr="00374312">
        <w:rPr>
          <w:rFonts w:ascii="Arial" w:hAnsi="Arial" w:cs="Arial"/>
          <w:sz w:val="22"/>
          <w:szCs w:val="22"/>
        </w:rPr>
        <w:t>ton Settlement Boundary and the Cotswolds National Landscape, on level ground and within Flood Zone 1, with only low groundwater</w:t>
      </w:r>
      <w:r w:rsidRPr="00374312">
        <w:rPr>
          <w:rFonts w:ascii="Arial" w:hAnsi="Arial" w:cs="Arial"/>
          <w:sz w:val="22"/>
          <w:szCs w:val="22"/>
        </w:rPr>
        <w:noBreakHyphen/>
        <w:t>flood risk identified</w:t>
      </w:r>
      <w:r w:rsidR="001A2162">
        <w:rPr>
          <w:rFonts w:ascii="Arial" w:hAnsi="Arial" w:cs="Arial"/>
          <w:sz w:val="22"/>
          <w:szCs w:val="22"/>
        </w:rPr>
        <w:t xml:space="preserve"> by the sFRA</w:t>
      </w:r>
      <w:r w:rsidRPr="00374312">
        <w:rPr>
          <w:rFonts w:ascii="Arial" w:hAnsi="Arial" w:cs="Arial"/>
          <w:sz w:val="22"/>
          <w:szCs w:val="22"/>
        </w:rPr>
        <w:t>.</w:t>
      </w:r>
    </w:p>
    <w:p w14:paraId="2FF7D740" w14:textId="77777777" w:rsidR="00B046BB" w:rsidRPr="00075C07" w:rsidRDefault="00B046BB"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904"/>
        <w:gridCol w:w="5906"/>
        <w:gridCol w:w="2620"/>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1A2162" w14:paraId="03FD1D19" w14:textId="77777777" w:rsidTr="00532E0B">
        <w:tc>
          <w:tcPr>
            <w:tcW w:w="1838" w:type="dxa"/>
          </w:tcPr>
          <w:p w14:paraId="4D290D2F" w14:textId="77777777" w:rsidR="001A2162" w:rsidRPr="00E82298" w:rsidRDefault="001A2162" w:rsidP="00532E0B">
            <w:pPr>
              <w:spacing w:line="276" w:lineRule="auto"/>
              <w:rPr>
                <w:rFonts w:ascii="Arial" w:hAnsi="Arial" w:cs="Arial"/>
                <w:sz w:val="22"/>
                <w:szCs w:val="22"/>
              </w:rPr>
            </w:pPr>
            <w:r w:rsidRPr="00B046BB">
              <w:rPr>
                <w:rFonts w:ascii="Arial" w:hAnsi="Arial" w:cs="Arial"/>
                <w:sz w:val="22"/>
                <w:szCs w:val="22"/>
              </w:rPr>
              <w:t>N/04/00560/OUT</w:t>
            </w:r>
          </w:p>
        </w:tc>
        <w:tc>
          <w:tcPr>
            <w:tcW w:w="5954" w:type="dxa"/>
          </w:tcPr>
          <w:p w14:paraId="3AEB91ED" w14:textId="77777777" w:rsidR="001A2162" w:rsidRPr="00E82298" w:rsidRDefault="001A2162" w:rsidP="00532E0B">
            <w:pPr>
              <w:spacing w:line="276" w:lineRule="auto"/>
              <w:rPr>
                <w:rFonts w:ascii="Arial" w:hAnsi="Arial" w:cs="Arial"/>
                <w:sz w:val="22"/>
                <w:szCs w:val="22"/>
              </w:rPr>
            </w:pPr>
            <w:r w:rsidRPr="00B046BB">
              <w:rPr>
                <w:rFonts w:ascii="Arial" w:hAnsi="Arial" w:cs="Arial"/>
                <w:sz w:val="22"/>
                <w:szCs w:val="22"/>
              </w:rPr>
              <w:t>RESIDENTIAL DEVELOPMENT 14 DWELLINGS</w:t>
            </w:r>
          </w:p>
        </w:tc>
        <w:tc>
          <w:tcPr>
            <w:tcW w:w="2638" w:type="dxa"/>
          </w:tcPr>
          <w:p w14:paraId="7A4A005E" w14:textId="77777777" w:rsidR="001A2162" w:rsidRDefault="001A2162" w:rsidP="00532E0B">
            <w:pPr>
              <w:spacing w:line="276" w:lineRule="auto"/>
              <w:rPr>
                <w:rFonts w:ascii="Arial" w:hAnsi="Arial" w:cs="Arial"/>
                <w:sz w:val="22"/>
                <w:szCs w:val="22"/>
              </w:rPr>
            </w:pPr>
            <w:r>
              <w:rPr>
                <w:rFonts w:ascii="Arial" w:hAnsi="Arial" w:cs="Arial"/>
                <w:sz w:val="22"/>
                <w:szCs w:val="22"/>
              </w:rPr>
              <w:t>Approved</w:t>
            </w:r>
          </w:p>
        </w:tc>
      </w:tr>
      <w:tr w:rsidR="00C848E4" w14:paraId="6391EEE9" w14:textId="77777777" w:rsidTr="00532E0B">
        <w:tc>
          <w:tcPr>
            <w:tcW w:w="1838" w:type="dxa"/>
          </w:tcPr>
          <w:p w14:paraId="129D6CF1" w14:textId="5848F818" w:rsidR="00C848E4" w:rsidRDefault="00A619AF" w:rsidP="00532E0B">
            <w:pPr>
              <w:spacing w:line="276" w:lineRule="auto"/>
              <w:rPr>
                <w:rFonts w:ascii="Arial" w:hAnsi="Arial" w:cs="Arial"/>
                <w:sz w:val="22"/>
                <w:szCs w:val="22"/>
              </w:rPr>
            </w:pPr>
            <w:r w:rsidRPr="00A619AF">
              <w:rPr>
                <w:rFonts w:ascii="Arial" w:hAnsi="Arial" w:cs="Arial"/>
                <w:sz w:val="22"/>
                <w:szCs w:val="22"/>
              </w:rPr>
              <w:t>N/05/01578/REM</w:t>
            </w:r>
          </w:p>
        </w:tc>
        <w:tc>
          <w:tcPr>
            <w:tcW w:w="5954" w:type="dxa"/>
          </w:tcPr>
          <w:p w14:paraId="3C690310" w14:textId="6BB1AA49" w:rsidR="00C848E4" w:rsidRDefault="00E82298" w:rsidP="00532E0B">
            <w:pPr>
              <w:spacing w:line="276" w:lineRule="auto"/>
              <w:rPr>
                <w:rFonts w:ascii="Arial" w:hAnsi="Arial" w:cs="Arial"/>
                <w:sz w:val="22"/>
                <w:szCs w:val="22"/>
              </w:rPr>
            </w:pPr>
            <w:r w:rsidRPr="00E82298">
              <w:rPr>
                <w:rFonts w:ascii="Arial" w:hAnsi="Arial" w:cs="Arial"/>
                <w:sz w:val="22"/>
                <w:szCs w:val="22"/>
              </w:rPr>
              <w:t>Residential Development - Fourteen Dwellings</w:t>
            </w:r>
          </w:p>
        </w:tc>
        <w:tc>
          <w:tcPr>
            <w:tcW w:w="2638" w:type="dxa"/>
          </w:tcPr>
          <w:p w14:paraId="23A7486B" w14:textId="4DE3300F" w:rsidR="00C848E4" w:rsidRDefault="00E82298" w:rsidP="00532E0B">
            <w:pPr>
              <w:spacing w:line="276" w:lineRule="auto"/>
              <w:rPr>
                <w:rFonts w:ascii="Arial" w:hAnsi="Arial" w:cs="Arial"/>
                <w:sz w:val="22"/>
                <w:szCs w:val="22"/>
              </w:rPr>
            </w:pPr>
            <w:r>
              <w:rPr>
                <w:rFonts w:ascii="Arial" w:hAnsi="Arial" w:cs="Arial"/>
                <w:sz w:val="22"/>
                <w:szCs w:val="22"/>
              </w:rPr>
              <w:t>Approved</w:t>
            </w:r>
          </w:p>
        </w:tc>
      </w:tr>
      <w:tr w:rsidR="00E82298" w14:paraId="3012FC64" w14:textId="77777777" w:rsidTr="00532E0B">
        <w:tc>
          <w:tcPr>
            <w:tcW w:w="1838" w:type="dxa"/>
          </w:tcPr>
          <w:p w14:paraId="794329DC" w14:textId="0A6F9A3C" w:rsidR="00E82298" w:rsidRPr="00A619AF" w:rsidRDefault="00E82298" w:rsidP="00532E0B">
            <w:pPr>
              <w:spacing w:line="276" w:lineRule="auto"/>
              <w:rPr>
                <w:rFonts w:ascii="Arial" w:hAnsi="Arial" w:cs="Arial"/>
                <w:sz w:val="22"/>
                <w:szCs w:val="22"/>
              </w:rPr>
            </w:pPr>
            <w:r w:rsidRPr="00E82298">
              <w:rPr>
                <w:rFonts w:ascii="Arial" w:hAnsi="Arial" w:cs="Arial"/>
                <w:sz w:val="22"/>
                <w:szCs w:val="22"/>
              </w:rPr>
              <w:t>N/06/00959/REM</w:t>
            </w:r>
          </w:p>
        </w:tc>
        <w:tc>
          <w:tcPr>
            <w:tcW w:w="5954" w:type="dxa"/>
          </w:tcPr>
          <w:p w14:paraId="20A9C8E5" w14:textId="448091B3" w:rsidR="00E82298" w:rsidRPr="00E82298" w:rsidRDefault="00E82298" w:rsidP="00532E0B">
            <w:pPr>
              <w:spacing w:line="276" w:lineRule="auto"/>
              <w:rPr>
                <w:rFonts w:ascii="Arial" w:hAnsi="Arial" w:cs="Arial"/>
                <w:sz w:val="22"/>
                <w:szCs w:val="22"/>
              </w:rPr>
            </w:pPr>
            <w:r w:rsidRPr="00E82298">
              <w:rPr>
                <w:rFonts w:ascii="Arial" w:hAnsi="Arial" w:cs="Arial"/>
                <w:sz w:val="22"/>
                <w:szCs w:val="22"/>
              </w:rPr>
              <w:t>Landscaping Reserved Matters (04.00560.OUT)</w:t>
            </w:r>
          </w:p>
        </w:tc>
        <w:tc>
          <w:tcPr>
            <w:tcW w:w="2638" w:type="dxa"/>
          </w:tcPr>
          <w:p w14:paraId="2C8CC94B" w14:textId="2025E38C" w:rsidR="00E82298" w:rsidRDefault="00E82298"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1A2162" w:rsidRDefault="00C53B6A" w:rsidP="00CC6665">
      <w:pPr>
        <w:spacing w:line="276" w:lineRule="auto"/>
        <w:rPr>
          <w:rFonts w:ascii="Arial" w:hAnsi="Arial" w:cs="Arial"/>
          <w:sz w:val="22"/>
          <w:szCs w:val="22"/>
        </w:rPr>
      </w:pPr>
    </w:p>
    <w:p w14:paraId="10B576DA" w14:textId="1112F6FD" w:rsidR="00C53B6A" w:rsidRPr="001A2162" w:rsidRDefault="00C53B6A"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1</w:t>
      </w:r>
      <w:r w:rsidR="00601AAD" w:rsidRPr="001A2162">
        <w:rPr>
          <w:rFonts w:ascii="Arial" w:hAnsi="Arial" w:cs="Arial"/>
          <w:sz w:val="22"/>
          <w:szCs w:val="22"/>
        </w:rPr>
        <w:tab/>
      </w:r>
      <w:r w:rsidR="00601AAD" w:rsidRPr="001A2162">
        <w:rPr>
          <w:rFonts w:ascii="Arial" w:hAnsi="Arial" w:cs="Arial"/>
          <w:sz w:val="22"/>
          <w:szCs w:val="22"/>
        </w:rPr>
        <w:tab/>
      </w:r>
      <w:r w:rsidRPr="001A2162">
        <w:rPr>
          <w:rFonts w:ascii="Arial" w:hAnsi="Arial" w:cs="Arial"/>
          <w:sz w:val="22"/>
          <w:szCs w:val="22"/>
        </w:rPr>
        <w:t xml:space="preserve">Settlement </w:t>
      </w:r>
      <w:proofErr w:type="gramStart"/>
      <w:r w:rsidR="007A61A7" w:rsidRPr="001A2162">
        <w:rPr>
          <w:rFonts w:ascii="Arial" w:hAnsi="Arial" w:cs="Arial"/>
          <w:sz w:val="22"/>
          <w:szCs w:val="22"/>
        </w:rPr>
        <w:t>S</w:t>
      </w:r>
      <w:r w:rsidRPr="001A2162">
        <w:rPr>
          <w:rFonts w:ascii="Arial" w:hAnsi="Arial" w:cs="Arial"/>
          <w:sz w:val="22"/>
          <w:szCs w:val="22"/>
        </w:rPr>
        <w:t>trategy;</w:t>
      </w:r>
      <w:proofErr w:type="gramEnd"/>
      <w:r w:rsidRPr="001A2162">
        <w:rPr>
          <w:rFonts w:ascii="Arial" w:hAnsi="Arial" w:cs="Arial"/>
          <w:sz w:val="22"/>
          <w:szCs w:val="22"/>
        </w:rPr>
        <w:t xml:space="preserve"> </w:t>
      </w:r>
    </w:p>
    <w:p w14:paraId="65F086D4" w14:textId="4CA2E02F" w:rsidR="00594C14" w:rsidRPr="001A2162" w:rsidRDefault="00C53B6A"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2</w:t>
      </w:r>
      <w:r w:rsidR="00601AAD" w:rsidRPr="001A2162">
        <w:rPr>
          <w:rFonts w:ascii="Arial" w:hAnsi="Arial" w:cs="Arial"/>
          <w:sz w:val="22"/>
          <w:szCs w:val="22"/>
        </w:rPr>
        <w:t xml:space="preserve"> </w:t>
      </w:r>
      <w:r w:rsidR="00601AAD" w:rsidRPr="001A2162">
        <w:rPr>
          <w:rFonts w:ascii="Arial" w:hAnsi="Arial" w:cs="Arial"/>
          <w:sz w:val="22"/>
          <w:szCs w:val="22"/>
        </w:rPr>
        <w:tab/>
      </w:r>
      <w:r w:rsidR="00601AAD" w:rsidRPr="001A2162">
        <w:rPr>
          <w:rFonts w:ascii="Arial" w:hAnsi="Arial" w:cs="Arial"/>
          <w:sz w:val="22"/>
          <w:szCs w:val="22"/>
        </w:rPr>
        <w:tab/>
      </w:r>
      <w:r w:rsidRPr="001A2162">
        <w:rPr>
          <w:rFonts w:ascii="Arial" w:hAnsi="Arial" w:cs="Arial"/>
          <w:sz w:val="22"/>
          <w:szCs w:val="22"/>
        </w:rPr>
        <w:t xml:space="preserve">Delivery </w:t>
      </w:r>
      <w:proofErr w:type="gramStart"/>
      <w:r w:rsidR="007A61A7" w:rsidRPr="001A2162">
        <w:rPr>
          <w:rFonts w:ascii="Arial" w:hAnsi="Arial" w:cs="Arial"/>
          <w:sz w:val="22"/>
          <w:szCs w:val="22"/>
        </w:rPr>
        <w:t>S</w:t>
      </w:r>
      <w:r w:rsidRPr="001A2162">
        <w:rPr>
          <w:rFonts w:ascii="Arial" w:hAnsi="Arial" w:cs="Arial"/>
          <w:sz w:val="22"/>
          <w:szCs w:val="22"/>
        </w:rPr>
        <w:t>trategy;</w:t>
      </w:r>
      <w:proofErr w:type="gramEnd"/>
    </w:p>
    <w:p w14:paraId="7D8BECCC" w14:textId="380E55E5" w:rsidR="0076074E" w:rsidRPr="001A2162" w:rsidRDefault="00DC64E7"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 xml:space="preserve">Core Policy </w:t>
      </w:r>
      <w:r w:rsidR="008461DA" w:rsidRPr="001A2162">
        <w:rPr>
          <w:rFonts w:ascii="Arial" w:hAnsi="Arial" w:cs="Arial"/>
          <w:sz w:val="22"/>
          <w:szCs w:val="22"/>
        </w:rPr>
        <w:t>13</w:t>
      </w:r>
      <w:r w:rsidR="008461DA" w:rsidRPr="001A2162">
        <w:rPr>
          <w:rFonts w:ascii="Arial" w:hAnsi="Arial" w:cs="Arial"/>
          <w:sz w:val="22"/>
          <w:szCs w:val="22"/>
        </w:rPr>
        <w:tab/>
      </w:r>
      <w:r w:rsidR="008461DA" w:rsidRPr="001A2162">
        <w:rPr>
          <w:rFonts w:ascii="Arial" w:hAnsi="Arial" w:cs="Arial"/>
          <w:sz w:val="22"/>
          <w:szCs w:val="22"/>
        </w:rPr>
        <w:tab/>
        <w:t>Spatial Strategy: Mal</w:t>
      </w:r>
      <w:r w:rsidR="00F731EA" w:rsidRPr="001A2162">
        <w:rPr>
          <w:rFonts w:ascii="Arial" w:hAnsi="Arial" w:cs="Arial"/>
          <w:sz w:val="22"/>
          <w:szCs w:val="22"/>
        </w:rPr>
        <w:t xml:space="preserve">mesbury Community </w:t>
      </w:r>
      <w:proofErr w:type="gramStart"/>
      <w:r w:rsidR="00F731EA" w:rsidRPr="001A2162">
        <w:rPr>
          <w:rFonts w:ascii="Arial" w:hAnsi="Arial" w:cs="Arial"/>
          <w:sz w:val="22"/>
          <w:szCs w:val="22"/>
        </w:rPr>
        <w:t>Area;</w:t>
      </w:r>
      <w:proofErr w:type="gramEnd"/>
    </w:p>
    <w:p w14:paraId="72359717" w14:textId="5D2923D3" w:rsidR="007336B3" w:rsidRPr="001A2162" w:rsidRDefault="007336B3"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50</w:t>
      </w:r>
      <w:r w:rsidRPr="001A2162">
        <w:rPr>
          <w:rFonts w:ascii="Arial" w:hAnsi="Arial" w:cs="Arial"/>
          <w:sz w:val="22"/>
          <w:szCs w:val="22"/>
        </w:rPr>
        <w:tab/>
      </w:r>
      <w:r w:rsidRPr="001A2162">
        <w:rPr>
          <w:rFonts w:ascii="Arial" w:hAnsi="Arial" w:cs="Arial"/>
          <w:sz w:val="22"/>
          <w:szCs w:val="22"/>
        </w:rPr>
        <w:tab/>
        <w:t xml:space="preserve">Biodiversity and </w:t>
      </w:r>
      <w:proofErr w:type="gramStart"/>
      <w:r w:rsidRPr="001A2162">
        <w:rPr>
          <w:rFonts w:ascii="Arial" w:hAnsi="Arial" w:cs="Arial"/>
          <w:sz w:val="22"/>
          <w:szCs w:val="22"/>
        </w:rPr>
        <w:t>Geodiversity;</w:t>
      </w:r>
      <w:proofErr w:type="gramEnd"/>
    </w:p>
    <w:p w14:paraId="2C9A8F56" w14:textId="6C82D516" w:rsidR="00C53B6A" w:rsidRPr="001A2162" w:rsidRDefault="00C53B6A"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51</w:t>
      </w:r>
      <w:r w:rsidR="00601AAD" w:rsidRPr="001A2162">
        <w:rPr>
          <w:rFonts w:ascii="Arial" w:hAnsi="Arial" w:cs="Arial"/>
          <w:sz w:val="22"/>
          <w:szCs w:val="22"/>
        </w:rPr>
        <w:t xml:space="preserve"> </w:t>
      </w:r>
      <w:r w:rsidR="00601AAD" w:rsidRPr="001A2162">
        <w:rPr>
          <w:rFonts w:ascii="Arial" w:hAnsi="Arial" w:cs="Arial"/>
          <w:sz w:val="22"/>
          <w:szCs w:val="22"/>
        </w:rPr>
        <w:tab/>
      </w:r>
      <w:proofErr w:type="gramStart"/>
      <w:r w:rsidRPr="001A2162">
        <w:rPr>
          <w:rFonts w:ascii="Arial" w:hAnsi="Arial" w:cs="Arial"/>
          <w:sz w:val="22"/>
          <w:szCs w:val="22"/>
        </w:rPr>
        <w:t>Landscape;</w:t>
      </w:r>
      <w:proofErr w:type="gramEnd"/>
      <w:r w:rsidRPr="001A2162">
        <w:rPr>
          <w:rFonts w:ascii="Arial" w:hAnsi="Arial" w:cs="Arial"/>
          <w:sz w:val="22"/>
          <w:szCs w:val="22"/>
        </w:rPr>
        <w:t xml:space="preserve"> </w:t>
      </w:r>
    </w:p>
    <w:p w14:paraId="40D32787" w14:textId="78D7E7D9" w:rsidR="00A938B9" w:rsidRPr="001A2162" w:rsidRDefault="00C53B6A"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57</w:t>
      </w:r>
      <w:r w:rsidR="00601AAD" w:rsidRPr="001A2162">
        <w:rPr>
          <w:rFonts w:ascii="Arial" w:hAnsi="Arial" w:cs="Arial"/>
          <w:sz w:val="22"/>
          <w:szCs w:val="22"/>
        </w:rPr>
        <w:t xml:space="preserve"> </w:t>
      </w:r>
      <w:r w:rsidR="00601AAD" w:rsidRPr="001A2162">
        <w:rPr>
          <w:rFonts w:ascii="Arial" w:hAnsi="Arial" w:cs="Arial"/>
          <w:sz w:val="22"/>
          <w:szCs w:val="22"/>
        </w:rPr>
        <w:tab/>
      </w:r>
      <w:r w:rsidRPr="001A2162">
        <w:rPr>
          <w:rFonts w:ascii="Arial" w:hAnsi="Arial" w:cs="Arial"/>
          <w:sz w:val="22"/>
          <w:szCs w:val="22"/>
        </w:rPr>
        <w:t xml:space="preserve">Ensuring </w:t>
      </w:r>
      <w:r w:rsidR="007A61A7" w:rsidRPr="001A2162">
        <w:rPr>
          <w:rFonts w:ascii="Arial" w:hAnsi="Arial" w:cs="Arial"/>
          <w:sz w:val="22"/>
          <w:szCs w:val="22"/>
        </w:rPr>
        <w:t>H</w:t>
      </w:r>
      <w:r w:rsidRPr="001A2162">
        <w:rPr>
          <w:rFonts w:ascii="Arial" w:hAnsi="Arial" w:cs="Arial"/>
          <w:sz w:val="22"/>
          <w:szCs w:val="22"/>
        </w:rPr>
        <w:t>igh-</w:t>
      </w:r>
      <w:r w:rsidR="007A61A7" w:rsidRPr="001A2162">
        <w:rPr>
          <w:rFonts w:ascii="Arial" w:hAnsi="Arial" w:cs="Arial"/>
          <w:sz w:val="22"/>
          <w:szCs w:val="22"/>
        </w:rPr>
        <w:t>Q</w:t>
      </w:r>
      <w:r w:rsidRPr="001A2162">
        <w:rPr>
          <w:rFonts w:ascii="Arial" w:hAnsi="Arial" w:cs="Arial"/>
          <w:sz w:val="22"/>
          <w:szCs w:val="22"/>
        </w:rPr>
        <w:t xml:space="preserve">uality </w:t>
      </w:r>
      <w:r w:rsidR="007A61A7" w:rsidRPr="001A2162">
        <w:rPr>
          <w:rFonts w:ascii="Arial" w:hAnsi="Arial" w:cs="Arial"/>
          <w:sz w:val="22"/>
          <w:szCs w:val="22"/>
        </w:rPr>
        <w:t>D</w:t>
      </w:r>
      <w:r w:rsidRPr="001A2162">
        <w:rPr>
          <w:rFonts w:ascii="Arial" w:hAnsi="Arial" w:cs="Arial"/>
          <w:sz w:val="22"/>
          <w:szCs w:val="22"/>
        </w:rPr>
        <w:t xml:space="preserve">esign and </w:t>
      </w:r>
      <w:r w:rsidR="007A61A7" w:rsidRPr="001A2162">
        <w:rPr>
          <w:rFonts w:ascii="Arial" w:hAnsi="Arial" w:cs="Arial"/>
          <w:sz w:val="22"/>
          <w:szCs w:val="22"/>
        </w:rPr>
        <w:t>P</w:t>
      </w:r>
      <w:r w:rsidRPr="001A2162">
        <w:rPr>
          <w:rFonts w:ascii="Arial" w:hAnsi="Arial" w:cs="Arial"/>
          <w:sz w:val="22"/>
          <w:szCs w:val="22"/>
        </w:rPr>
        <w:t xml:space="preserve">lace </w:t>
      </w:r>
      <w:proofErr w:type="gramStart"/>
      <w:r w:rsidR="007A61A7" w:rsidRPr="001A2162">
        <w:rPr>
          <w:rFonts w:ascii="Arial" w:hAnsi="Arial" w:cs="Arial"/>
          <w:sz w:val="22"/>
          <w:szCs w:val="22"/>
        </w:rPr>
        <w:t>S</w:t>
      </w:r>
      <w:r w:rsidRPr="001A2162">
        <w:rPr>
          <w:rFonts w:ascii="Arial" w:hAnsi="Arial" w:cs="Arial"/>
          <w:sz w:val="22"/>
          <w:szCs w:val="22"/>
        </w:rPr>
        <w:t>haping;</w:t>
      </w:r>
      <w:proofErr w:type="gramEnd"/>
      <w:r w:rsidRPr="001A2162">
        <w:rPr>
          <w:rFonts w:ascii="Arial" w:hAnsi="Arial" w:cs="Arial"/>
          <w:sz w:val="22"/>
          <w:szCs w:val="22"/>
        </w:rPr>
        <w:t xml:space="preserve"> </w:t>
      </w:r>
    </w:p>
    <w:p w14:paraId="11ED6A25" w14:textId="7AF5F23B" w:rsidR="00EB3DCC" w:rsidRPr="001A2162" w:rsidRDefault="00EB3DCC"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60</w:t>
      </w:r>
      <w:r w:rsidRPr="001A2162">
        <w:rPr>
          <w:rFonts w:ascii="Arial" w:hAnsi="Arial" w:cs="Arial"/>
          <w:sz w:val="22"/>
          <w:szCs w:val="22"/>
        </w:rPr>
        <w:tab/>
      </w:r>
      <w:r w:rsidRPr="001A2162">
        <w:rPr>
          <w:rFonts w:ascii="Arial" w:hAnsi="Arial" w:cs="Arial"/>
          <w:sz w:val="22"/>
          <w:szCs w:val="22"/>
        </w:rPr>
        <w:tab/>
        <w:t xml:space="preserve">Sustainable </w:t>
      </w:r>
      <w:proofErr w:type="gramStart"/>
      <w:r w:rsidRPr="001A2162">
        <w:rPr>
          <w:rFonts w:ascii="Arial" w:hAnsi="Arial" w:cs="Arial"/>
          <w:sz w:val="22"/>
          <w:szCs w:val="22"/>
        </w:rPr>
        <w:t>Transport;</w:t>
      </w:r>
      <w:proofErr w:type="gramEnd"/>
    </w:p>
    <w:p w14:paraId="77A925A7" w14:textId="333FBA5F" w:rsidR="00C53B6A" w:rsidRPr="001A2162" w:rsidRDefault="00C53B6A"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61</w:t>
      </w:r>
      <w:r w:rsidR="00601AAD" w:rsidRPr="001A2162">
        <w:rPr>
          <w:rFonts w:ascii="Arial" w:hAnsi="Arial" w:cs="Arial"/>
          <w:sz w:val="22"/>
          <w:szCs w:val="22"/>
        </w:rPr>
        <w:t xml:space="preserve"> </w:t>
      </w:r>
      <w:r w:rsidR="00601AAD" w:rsidRPr="001A2162">
        <w:rPr>
          <w:rFonts w:ascii="Arial" w:hAnsi="Arial" w:cs="Arial"/>
          <w:sz w:val="22"/>
          <w:szCs w:val="22"/>
        </w:rPr>
        <w:tab/>
      </w:r>
      <w:r w:rsidRPr="001A2162">
        <w:rPr>
          <w:rFonts w:ascii="Arial" w:hAnsi="Arial" w:cs="Arial"/>
          <w:sz w:val="22"/>
          <w:szCs w:val="22"/>
        </w:rPr>
        <w:t xml:space="preserve">Transport and </w:t>
      </w:r>
      <w:proofErr w:type="gramStart"/>
      <w:r w:rsidRPr="001A2162">
        <w:rPr>
          <w:rFonts w:ascii="Arial" w:hAnsi="Arial" w:cs="Arial"/>
          <w:sz w:val="22"/>
          <w:szCs w:val="22"/>
        </w:rPr>
        <w:t>Development;</w:t>
      </w:r>
      <w:proofErr w:type="gramEnd"/>
      <w:r w:rsidRPr="001A2162">
        <w:rPr>
          <w:rFonts w:ascii="Arial" w:hAnsi="Arial" w:cs="Arial"/>
          <w:sz w:val="22"/>
          <w:szCs w:val="22"/>
        </w:rPr>
        <w:t xml:space="preserve"> </w:t>
      </w:r>
    </w:p>
    <w:p w14:paraId="2F1672C7" w14:textId="2EDD9E9D" w:rsidR="00C53B6A" w:rsidRPr="001A2162" w:rsidRDefault="00C53B6A"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64</w:t>
      </w:r>
      <w:r w:rsidR="00601AAD" w:rsidRPr="001A2162">
        <w:rPr>
          <w:rFonts w:ascii="Arial" w:hAnsi="Arial" w:cs="Arial"/>
          <w:sz w:val="22"/>
          <w:szCs w:val="22"/>
        </w:rPr>
        <w:t xml:space="preserve"> </w:t>
      </w:r>
      <w:r w:rsidR="00601AAD" w:rsidRPr="001A2162">
        <w:rPr>
          <w:rFonts w:ascii="Arial" w:hAnsi="Arial" w:cs="Arial"/>
          <w:sz w:val="22"/>
          <w:szCs w:val="22"/>
        </w:rPr>
        <w:tab/>
      </w:r>
      <w:r w:rsidRPr="001A2162">
        <w:rPr>
          <w:rFonts w:ascii="Arial" w:hAnsi="Arial" w:cs="Arial"/>
          <w:sz w:val="22"/>
          <w:szCs w:val="22"/>
        </w:rPr>
        <w:t xml:space="preserve">Demand </w:t>
      </w:r>
      <w:proofErr w:type="gramStart"/>
      <w:r w:rsidRPr="001A2162">
        <w:rPr>
          <w:rFonts w:ascii="Arial" w:hAnsi="Arial" w:cs="Arial"/>
          <w:sz w:val="22"/>
          <w:szCs w:val="22"/>
        </w:rPr>
        <w:t>Management;</w:t>
      </w:r>
      <w:proofErr w:type="gramEnd"/>
      <w:r w:rsidRPr="001A2162">
        <w:rPr>
          <w:rFonts w:ascii="Arial" w:hAnsi="Arial" w:cs="Arial"/>
          <w:sz w:val="22"/>
          <w:szCs w:val="22"/>
        </w:rPr>
        <w:t xml:space="preserve"> </w:t>
      </w:r>
    </w:p>
    <w:p w14:paraId="2911E291" w14:textId="49AA6B9B" w:rsidR="0023524B" w:rsidRPr="001A2162" w:rsidRDefault="0023524B" w:rsidP="00CC6665">
      <w:pPr>
        <w:autoSpaceDE w:val="0"/>
        <w:autoSpaceDN w:val="0"/>
        <w:adjustRightInd w:val="0"/>
        <w:spacing w:line="276" w:lineRule="auto"/>
        <w:rPr>
          <w:rFonts w:ascii="Arial" w:hAnsi="Arial" w:cs="Arial"/>
          <w:sz w:val="22"/>
          <w:szCs w:val="22"/>
        </w:rPr>
      </w:pPr>
      <w:r w:rsidRPr="001A2162">
        <w:rPr>
          <w:rFonts w:ascii="Arial" w:hAnsi="Arial" w:cs="Arial"/>
          <w:sz w:val="22"/>
          <w:szCs w:val="22"/>
        </w:rPr>
        <w:t>Core Policy 67</w:t>
      </w:r>
      <w:r w:rsidRPr="001A2162">
        <w:rPr>
          <w:rFonts w:ascii="Arial" w:hAnsi="Arial" w:cs="Arial"/>
          <w:sz w:val="22"/>
          <w:szCs w:val="22"/>
        </w:rPr>
        <w:tab/>
      </w:r>
      <w:r w:rsidRPr="001A2162">
        <w:rPr>
          <w:rFonts w:ascii="Arial" w:hAnsi="Arial" w:cs="Arial"/>
          <w:sz w:val="22"/>
          <w:szCs w:val="22"/>
        </w:rPr>
        <w:tab/>
        <w:t xml:space="preserve">Flood </w:t>
      </w:r>
      <w:proofErr w:type="gramStart"/>
      <w:r w:rsidRPr="001A2162">
        <w:rPr>
          <w:rFonts w:ascii="Arial" w:hAnsi="Arial" w:cs="Arial"/>
          <w:sz w:val="22"/>
          <w:szCs w:val="22"/>
        </w:rPr>
        <w:t>Risk;</w:t>
      </w:r>
      <w:proofErr w:type="gramEnd"/>
    </w:p>
    <w:p w14:paraId="2644B18E" w14:textId="77777777" w:rsidR="00C53B6A" w:rsidRPr="001A2162" w:rsidRDefault="00C53B6A" w:rsidP="00CC6665">
      <w:pPr>
        <w:spacing w:line="276" w:lineRule="auto"/>
        <w:rPr>
          <w:rFonts w:ascii="Arial" w:hAnsi="Arial" w:cs="Arial"/>
          <w:sz w:val="22"/>
          <w:szCs w:val="22"/>
        </w:rPr>
      </w:pPr>
    </w:p>
    <w:p w14:paraId="3D48D6A0" w14:textId="52E9B940" w:rsidR="00DC4F3E" w:rsidRPr="001A2162" w:rsidRDefault="00F47F0A" w:rsidP="00CC6665">
      <w:pPr>
        <w:spacing w:line="276" w:lineRule="auto"/>
        <w:rPr>
          <w:rFonts w:ascii="Arial" w:hAnsi="Arial" w:cs="Arial"/>
          <w:sz w:val="22"/>
          <w:szCs w:val="22"/>
          <w:u w:val="single"/>
        </w:rPr>
      </w:pPr>
      <w:r w:rsidRPr="001A2162">
        <w:rPr>
          <w:rFonts w:ascii="Arial" w:hAnsi="Arial" w:cs="Arial"/>
          <w:sz w:val="22"/>
          <w:szCs w:val="22"/>
          <w:u w:val="single"/>
        </w:rPr>
        <w:t>Sherston Neighbourhood Plan 2006 to 2026 (May 2019)</w:t>
      </w:r>
    </w:p>
    <w:p w14:paraId="64F53B99" w14:textId="77777777" w:rsidR="00DC4F3E" w:rsidRPr="001A2162" w:rsidRDefault="00DC4F3E" w:rsidP="00CC6665">
      <w:pPr>
        <w:spacing w:line="276" w:lineRule="auto"/>
        <w:rPr>
          <w:rFonts w:ascii="Arial" w:hAnsi="Arial" w:cs="Arial"/>
          <w:sz w:val="22"/>
          <w:szCs w:val="22"/>
          <w:u w:val="single"/>
        </w:rPr>
      </w:pPr>
    </w:p>
    <w:p w14:paraId="216DEAEC" w14:textId="69A7C9CA" w:rsidR="00DC4F3E" w:rsidRPr="001A2162" w:rsidRDefault="00DC4F3E" w:rsidP="00CC6665">
      <w:pPr>
        <w:spacing w:line="276" w:lineRule="auto"/>
        <w:rPr>
          <w:rFonts w:ascii="Arial" w:hAnsi="Arial" w:cs="Arial"/>
          <w:sz w:val="22"/>
          <w:szCs w:val="22"/>
          <w:u w:val="single"/>
        </w:rPr>
      </w:pPr>
      <w:bookmarkStart w:id="0" w:name="_Hlk212452795"/>
      <w:bookmarkStart w:id="1" w:name="_Hlk212461860"/>
      <w:r w:rsidRPr="001A2162">
        <w:rPr>
          <w:rFonts w:ascii="Arial" w:hAnsi="Arial" w:cs="Arial"/>
          <w:sz w:val="22"/>
          <w:szCs w:val="22"/>
          <w:u w:val="single"/>
        </w:rPr>
        <w:t>The National Planning Policy Framework (NPPF)</w:t>
      </w:r>
    </w:p>
    <w:p w14:paraId="50EC27A0" w14:textId="77777777" w:rsidR="00DC4F3E" w:rsidRPr="001A2162" w:rsidRDefault="00DC4F3E" w:rsidP="00CC6665">
      <w:pPr>
        <w:spacing w:line="276" w:lineRule="auto"/>
        <w:rPr>
          <w:rFonts w:ascii="Arial" w:hAnsi="Arial" w:cs="Arial"/>
          <w:sz w:val="22"/>
          <w:szCs w:val="22"/>
          <w:u w:val="single"/>
        </w:rPr>
      </w:pPr>
    </w:p>
    <w:p w14:paraId="1C924897" w14:textId="5F4037FA" w:rsidR="00DC4F3E" w:rsidRPr="001A2162" w:rsidRDefault="00DC4F3E" w:rsidP="00CC6665">
      <w:pPr>
        <w:spacing w:line="276" w:lineRule="auto"/>
        <w:rPr>
          <w:rFonts w:ascii="Arial" w:hAnsi="Arial" w:cs="Arial"/>
          <w:sz w:val="22"/>
          <w:szCs w:val="22"/>
          <w:u w:val="single"/>
        </w:rPr>
      </w:pPr>
      <w:r w:rsidRPr="001A2162">
        <w:rPr>
          <w:rFonts w:ascii="Arial" w:hAnsi="Arial" w:cs="Arial"/>
          <w:sz w:val="22"/>
          <w:szCs w:val="22"/>
          <w:u w:val="single"/>
        </w:rPr>
        <w:t>The Planning Practice Guidance (PPG)</w:t>
      </w:r>
    </w:p>
    <w:p w14:paraId="4930FB06" w14:textId="77777777" w:rsidR="008D6C52" w:rsidRPr="001A2162" w:rsidRDefault="008D6C52" w:rsidP="00CC6665">
      <w:pPr>
        <w:spacing w:line="276" w:lineRule="auto"/>
        <w:rPr>
          <w:rFonts w:ascii="Arial" w:hAnsi="Arial" w:cs="Arial"/>
          <w:sz w:val="22"/>
          <w:szCs w:val="22"/>
          <w:u w:val="single"/>
        </w:rPr>
      </w:pPr>
    </w:p>
    <w:p w14:paraId="08D91513" w14:textId="2BED8373" w:rsidR="00561AE7" w:rsidRPr="001A2162" w:rsidRDefault="008D6C52" w:rsidP="00CC6665">
      <w:pPr>
        <w:spacing w:before="20" w:line="276" w:lineRule="auto"/>
        <w:rPr>
          <w:rFonts w:ascii="Arial" w:hAnsi="Arial" w:cs="Arial"/>
          <w:sz w:val="22"/>
          <w:szCs w:val="22"/>
          <w:u w:val="single"/>
        </w:rPr>
      </w:pPr>
      <w:r w:rsidRPr="001A2162">
        <w:rPr>
          <w:rFonts w:ascii="Arial" w:hAnsi="Arial" w:cs="Arial"/>
          <w:sz w:val="22"/>
          <w:szCs w:val="22"/>
          <w:u w:val="single"/>
        </w:rPr>
        <w:t xml:space="preserve">Wiltshire Design Guide </w:t>
      </w:r>
      <w:r w:rsidR="00DC4F3E" w:rsidRPr="001A2162">
        <w:rPr>
          <w:rFonts w:ascii="Arial" w:hAnsi="Arial" w:cs="Arial"/>
          <w:sz w:val="22"/>
          <w:szCs w:val="22"/>
          <w:u w:val="single"/>
        </w:rPr>
        <w:t>- Appendix D – Design Guidance for Householder extensions</w:t>
      </w:r>
    </w:p>
    <w:bookmarkEnd w:id="0"/>
    <w:p w14:paraId="19CD89F3" w14:textId="77777777" w:rsidR="00DC4F3E" w:rsidRPr="001A2162" w:rsidRDefault="00DC4F3E" w:rsidP="00CC6665">
      <w:pPr>
        <w:spacing w:line="276" w:lineRule="auto"/>
        <w:rPr>
          <w:rFonts w:ascii="Arial" w:hAnsi="Arial" w:cs="Arial"/>
          <w:sz w:val="22"/>
          <w:szCs w:val="22"/>
          <w:u w:val="single"/>
        </w:rPr>
      </w:pPr>
    </w:p>
    <w:p w14:paraId="791E8FB4" w14:textId="79324D54" w:rsidR="00561AE7" w:rsidRPr="001A2162" w:rsidRDefault="008D6C52" w:rsidP="00CC6665">
      <w:pPr>
        <w:spacing w:line="276" w:lineRule="auto"/>
        <w:rPr>
          <w:rFonts w:ascii="Arial" w:hAnsi="Arial" w:cs="Arial"/>
          <w:sz w:val="22"/>
          <w:szCs w:val="22"/>
          <w:u w:val="single"/>
        </w:rPr>
      </w:pPr>
      <w:r w:rsidRPr="001A2162">
        <w:rPr>
          <w:rFonts w:ascii="Arial" w:hAnsi="Arial" w:cs="Arial"/>
          <w:sz w:val="22"/>
          <w:szCs w:val="22"/>
          <w:u w:val="single"/>
        </w:rPr>
        <w:t>The Wiltshire Local Transport Plan 201</w:t>
      </w:r>
      <w:r w:rsidR="008D5791" w:rsidRPr="001A2162">
        <w:rPr>
          <w:rFonts w:ascii="Arial" w:hAnsi="Arial" w:cs="Arial"/>
          <w:sz w:val="22"/>
          <w:szCs w:val="22"/>
          <w:u w:val="single"/>
        </w:rPr>
        <w:t>1</w:t>
      </w:r>
      <w:r w:rsidRPr="001A2162">
        <w:rPr>
          <w:rFonts w:ascii="Arial" w:hAnsi="Arial" w:cs="Arial"/>
          <w:sz w:val="22"/>
          <w:szCs w:val="22"/>
          <w:u w:val="single"/>
        </w:rPr>
        <w:t xml:space="preserve"> – 2026: Car Parking Strategy (March 2015).</w:t>
      </w:r>
    </w:p>
    <w:p w14:paraId="68198CF8" w14:textId="77777777" w:rsidR="00DC4F3E" w:rsidRPr="001A2162" w:rsidRDefault="00DC4F3E" w:rsidP="00CC6665">
      <w:pPr>
        <w:spacing w:line="276" w:lineRule="auto"/>
        <w:rPr>
          <w:rFonts w:ascii="Arial" w:hAnsi="Arial" w:cs="Arial"/>
          <w:sz w:val="22"/>
          <w:szCs w:val="22"/>
        </w:rPr>
      </w:pPr>
    </w:p>
    <w:p w14:paraId="7E5B5138" w14:textId="30DA2106" w:rsidR="00CD6B35" w:rsidRPr="001A2162" w:rsidRDefault="00CD6B35" w:rsidP="00CC6665">
      <w:pPr>
        <w:spacing w:line="276" w:lineRule="auto"/>
        <w:rPr>
          <w:rFonts w:ascii="Arial" w:hAnsi="Arial" w:cs="Arial"/>
          <w:sz w:val="22"/>
          <w:szCs w:val="22"/>
          <w:u w:val="single"/>
        </w:rPr>
      </w:pPr>
      <w:r w:rsidRPr="001A2162">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6B3AD6A5" w14:textId="009933D9" w:rsidR="008B781F" w:rsidRDefault="000B0456" w:rsidP="00BB5ED0">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01F955E7" w14:textId="77777777" w:rsidR="000B0456" w:rsidRPr="00BB5ED0" w:rsidRDefault="000B0456" w:rsidP="00BB5ED0">
      <w:pPr>
        <w:pStyle w:val="NormalWeb"/>
        <w:spacing w:before="0" w:beforeAutospacing="0" w:after="0" w:afterAutospacing="0" w:line="276" w:lineRule="auto"/>
        <w:jc w:val="both"/>
        <w:rPr>
          <w:rFonts w:ascii="Arial" w:hAnsi="Arial" w:cs="Arial"/>
          <w:sz w:val="22"/>
          <w:szCs w:val="22"/>
        </w:rPr>
      </w:pPr>
    </w:p>
    <w:p w14:paraId="3C3482A8" w14:textId="77777777" w:rsidR="00BB5ED0" w:rsidRPr="001A2162" w:rsidRDefault="00BB5ED0" w:rsidP="00BB5ED0">
      <w:pPr>
        <w:pStyle w:val="NoSpacing"/>
        <w:numPr>
          <w:ilvl w:val="0"/>
          <w:numId w:val="11"/>
        </w:numPr>
        <w:spacing w:line="276" w:lineRule="auto"/>
      </w:pPr>
      <w:r w:rsidRPr="001A2162">
        <w:t>Policy 88 Biodiversity and Geodiversity</w:t>
      </w:r>
    </w:p>
    <w:p w14:paraId="458546F0" w14:textId="77777777" w:rsidR="00BB5ED0" w:rsidRPr="001A2162" w:rsidRDefault="00BB5ED0" w:rsidP="00BB5ED0">
      <w:pPr>
        <w:pStyle w:val="NoSpacing"/>
        <w:numPr>
          <w:ilvl w:val="0"/>
          <w:numId w:val="11"/>
        </w:numPr>
        <w:spacing w:line="276" w:lineRule="auto"/>
      </w:pPr>
      <w:r w:rsidRPr="001A2162">
        <w:t>Policy 89 Biodiversity Net Gain</w:t>
      </w:r>
    </w:p>
    <w:p w14:paraId="24FF5236" w14:textId="77777777" w:rsidR="00BB5ED0" w:rsidRPr="001A2162" w:rsidRDefault="00BB5ED0" w:rsidP="00BB5ED0">
      <w:pPr>
        <w:pStyle w:val="NoSpacing"/>
        <w:numPr>
          <w:ilvl w:val="0"/>
          <w:numId w:val="11"/>
        </w:numPr>
        <w:spacing w:line="276" w:lineRule="auto"/>
      </w:pPr>
      <w:r w:rsidRPr="001A2162">
        <w:t>Policy 95 Flood Risk</w:t>
      </w:r>
    </w:p>
    <w:p w14:paraId="7201A01B" w14:textId="77777777" w:rsidR="00BB5ED0" w:rsidRPr="001A2162" w:rsidRDefault="00BB5ED0" w:rsidP="00BB5ED0">
      <w:pPr>
        <w:pStyle w:val="NoSpacing"/>
        <w:numPr>
          <w:ilvl w:val="0"/>
          <w:numId w:val="11"/>
        </w:numPr>
        <w:spacing w:line="276" w:lineRule="auto"/>
      </w:pPr>
      <w:r w:rsidRPr="001A2162">
        <w:t>Policy 98 High Quality Design and Place Shaping</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7260EE88" w:rsidR="0060536A" w:rsidRPr="007B08E5" w:rsidRDefault="007B08E5" w:rsidP="00CC6665">
      <w:pPr>
        <w:spacing w:line="276" w:lineRule="auto"/>
        <w:rPr>
          <w:rFonts w:ascii="Arial" w:hAnsi="Arial" w:cs="Arial"/>
          <w:bCs/>
          <w:sz w:val="22"/>
          <w:szCs w:val="22"/>
          <w:u w:val="single"/>
        </w:rPr>
      </w:pPr>
      <w:r w:rsidRPr="007B08E5">
        <w:rPr>
          <w:rFonts w:ascii="Arial" w:hAnsi="Arial" w:cs="Arial"/>
          <w:bCs/>
          <w:sz w:val="22"/>
          <w:szCs w:val="22"/>
          <w:u w:val="single"/>
        </w:rPr>
        <w:t xml:space="preserve">Sherston </w:t>
      </w:r>
      <w:r w:rsidR="00DC4F3E" w:rsidRPr="007B08E5">
        <w:rPr>
          <w:rFonts w:ascii="Arial" w:hAnsi="Arial" w:cs="Arial"/>
          <w:bCs/>
          <w:sz w:val="22"/>
          <w:szCs w:val="22"/>
          <w:u w:val="single"/>
        </w:rPr>
        <w:t xml:space="preserve">Parish </w:t>
      </w:r>
      <w:r w:rsidR="005D2581" w:rsidRPr="007B08E5">
        <w:rPr>
          <w:rFonts w:ascii="Arial" w:hAnsi="Arial" w:cs="Arial"/>
          <w:bCs/>
          <w:sz w:val="22"/>
          <w:szCs w:val="22"/>
          <w:u w:val="single"/>
        </w:rPr>
        <w:t>Council</w:t>
      </w:r>
      <w:r w:rsidR="0060536A" w:rsidRPr="007B08E5">
        <w:rPr>
          <w:rFonts w:ascii="Arial" w:hAnsi="Arial" w:cs="Arial"/>
          <w:bCs/>
          <w:sz w:val="22"/>
          <w:szCs w:val="22"/>
          <w:u w:val="single"/>
        </w:rPr>
        <w:t xml:space="preserve"> – </w:t>
      </w:r>
      <w:r w:rsidRPr="007B08E5">
        <w:rPr>
          <w:rFonts w:ascii="Arial" w:hAnsi="Arial" w:cs="Arial"/>
          <w:bCs/>
          <w:sz w:val="22"/>
          <w:szCs w:val="22"/>
          <w:u w:val="single"/>
        </w:rPr>
        <w:t>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7B08E5" w:rsidRDefault="003A1308" w:rsidP="00CC6665">
      <w:pPr>
        <w:spacing w:line="276" w:lineRule="auto"/>
        <w:rPr>
          <w:rFonts w:ascii="Arial" w:hAnsi="Arial" w:cs="Arial"/>
          <w:bCs/>
          <w:sz w:val="22"/>
          <w:szCs w:val="22"/>
        </w:rPr>
      </w:pPr>
      <w:r w:rsidRPr="007B08E5">
        <w:rPr>
          <w:rFonts w:ascii="Arial" w:hAnsi="Arial" w:cs="Arial"/>
          <w:bCs/>
          <w:sz w:val="22"/>
          <w:szCs w:val="22"/>
        </w:rPr>
        <w:t>No</w:t>
      </w:r>
      <w:r w:rsidR="003E43F6" w:rsidRPr="007B08E5">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77777777" w:rsidR="00AC6F8D" w:rsidRPr="007B08E5" w:rsidRDefault="00AC6F8D" w:rsidP="00AC6F8D">
      <w:pPr>
        <w:spacing w:line="276" w:lineRule="auto"/>
        <w:jc w:val="both"/>
        <w:rPr>
          <w:rFonts w:ascii="Arial" w:hAnsi="Arial" w:cs="Arial"/>
          <w:sz w:val="22"/>
          <w:szCs w:val="22"/>
        </w:rPr>
      </w:pPr>
      <w:r w:rsidRPr="007B08E5">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7FE66425" w14:textId="50AEFAC3" w:rsidR="00713A31" w:rsidRPr="00075C07" w:rsidRDefault="00713A31" w:rsidP="00CC6665">
      <w:pPr>
        <w:spacing w:line="276" w:lineRule="auto"/>
        <w:jc w:val="both"/>
        <w:rPr>
          <w:rFonts w:ascii="Arial" w:hAnsi="Arial" w:cs="Arial"/>
          <w:sz w:val="22"/>
          <w:szCs w:val="22"/>
        </w:rPr>
      </w:pPr>
      <w:r w:rsidRPr="00075C07">
        <w:rPr>
          <w:rFonts w:ascii="Arial" w:hAnsi="Arial" w:cs="Arial"/>
          <w:sz w:val="22"/>
          <w:szCs w:val="22"/>
        </w:rPr>
        <w:t>Core Policy 57 Ensuring High Quality Design and Place Shaping of the Wiltshire Core Strategy seeks to ensure that all new development is of high design quality, reflecting local context, character, and distinctiveness.</w:t>
      </w:r>
    </w:p>
    <w:p w14:paraId="449CE38A" w14:textId="77777777" w:rsidR="00713A31" w:rsidRDefault="00713A31" w:rsidP="00CC6665">
      <w:pPr>
        <w:spacing w:line="276" w:lineRule="auto"/>
        <w:jc w:val="both"/>
        <w:rPr>
          <w:rFonts w:ascii="Arial" w:hAnsi="Arial" w:cs="Arial"/>
          <w:sz w:val="22"/>
          <w:szCs w:val="22"/>
        </w:rPr>
      </w:pPr>
    </w:p>
    <w:p w14:paraId="67C5BAAA" w14:textId="77777777" w:rsidR="006F6EEE" w:rsidRDefault="006F6EEE" w:rsidP="006F6EEE">
      <w:pPr>
        <w:pStyle w:val="NoSpacing"/>
        <w:spacing w:line="276" w:lineRule="auto"/>
        <w:rPr>
          <w:i/>
          <w:iCs/>
        </w:rPr>
      </w:pPr>
      <w:r w:rsidRPr="00C23111">
        <w:t>Policy 98 of the emerging Wiltshire Local Plan reiterates the position outlined in Core Policy 57, that new development must enhance local distinctiveness, and relate positively to its landscape setting, as well as demonstrating a positive response to existing townscape and built form features such as height, scale, massing, building line, materials, and appearance.</w:t>
      </w:r>
      <w:r w:rsidRPr="00C23111">
        <w:rPr>
          <w:i/>
          <w:iCs/>
        </w:rPr>
        <w:t xml:space="preserve"> </w:t>
      </w:r>
    </w:p>
    <w:p w14:paraId="189685B3" w14:textId="77777777" w:rsidR="00B1572B" w:rsidRDefault="00B1572B" w:rsidP="007B08E5">
      <w:pPr>
        <w:spacing w:line="276" w:lineRule="auto"/>
        <w:rPr>
          <w:rFonts w:ascii="Arial" w:hAnsi="Arial" w:cs="Arial"/>
          <w:sz w:val="22"/>
          <w:szCs w:val="22"/>
        </w:rPr>
      </w:pPr>
    </w:p>
    <w:p w14:paraId="3319E100" w14:textId="6EC198D1" w:rsidR="007B08E5" w:rsidRDefault="002937AF" w:rsidP="00CC6665">
      <w:pPr>
        <w:spacing w:line="276" w:lineRule="auto"/>
        <w:jc w:val="both"/>
        <w:rPr>
          <w:rFonts w:ascii="Arial" w:hAnsi="Arial" w:cs="Arial"/>
          <w:sz w:val="22"/>
          <w:szCs w:val="22"/>
        </w:rPr>
      </w:pPr>
      <w:r w:rsidRPr="002937AF">
        <w:rPr>
          <w:rFonts w:ascii="Arial" w:hAnsi="Arial" w:cs="Arial"/>
          <w:sz w:val="22"/>
          <w:szCs w:val="22"/>
        </w:rPr>
        <w:t>Core Policy 51 seeks to ensure that development safeguards the character, features, and special qualities of Wiltshire’s landscapes, including designated National Landscapes, by requiring proposals to conserve, protect, and where possible enhance the established landscape character. The policy emphasises the need for proposals to consider locally distinctive elements—such as hedgerows, watercourses, trees, topography, and settlement pattern—as part of a thorough assessment of the site and its wider setting, ensuring that development responds positively to the attributes that define the local landscape.</w:t>
      </w:r>
    </w:p>
    <w:p w14:paraId="33335EFC" w14:textId="77777777" w:rsidR="002937AF" w:rsidRDefault="002937AF" w:rsidP="00CC6665">
      <w:pPr>
        <w:spacing w:line="276" w:lineRule="auto"/>
        <w:jc w:val="both"/>
        <w:rPr>
          <w:rFonts w:ascii="Arial" w:hAnsi="Arial" w:cs="Arial"/>
          <w:sz w:val="22"/>
          <w:szCs w:val="22"/>
        </w:rPr>
      </w:pPr>
    </w:p>
    <w:p w14:paraId="0188589D" w14:textId="0494A250" w:rsidR="00713A31" w:rsidRDefault="00B1572B" w:rsidP="00CC6665">
      <w:pPr>
        <w:spacing w:line="276" w:lineRule="auto"/>
        <w:jc w:val="both"/>
        <w:rPr>
          <w:rFonts w:ascii="Arial" w:hAnsi="Arial" w:cs="Arial"/>
          <w:color w:val="000000" w:themeColor="text1"/>
          <w:sz w:val="22"/>
          <w:szCs w:val="22"/>
        </w:rPr>
      </w:pPr>
      <w:r w:rsidRPr="00B1572B">
        <w:rPr>
          <w:rFonts w:ascii="Arial" w:hAnsi="Arial" w:cs="Arial"/>
          <w:color w:val="000000" w:themeColor="text1"/>
          <w:sz w:val="22"/>
          <w:szCs w:val="22"/>
        </w:rPr>
        <w:t>In design terms, the proposed extension is modest and proportionate to the host dwelling, utilising rendered external walls that match the established material palette already present on the property. Given its limited footprint and single</w:t>
      </w:r>
      <w:r w:rsidRPr="00B1572B">
        <w:rPr>
          <w:rFonts w:ascii="Cambria Math" w:hAnsi="Cambria Math" w:cs="Cambria Math"/>
          <w:color w:val="000000" w:themeColor="text1"/>
          <w:sz w:val="22"/>
          <w:szCs w:val="22"/>
        </w:rPr>
        <w:t>‑</w:t>
      </w:r>
      <w:r w:rsidRPr="00B1572B">
        <w:rPr>
          <w:rFonts w:ascii="Arial" w:hAnsi="Arial" w:cs="Arial"/>
          <w:color w:val="000000" w:themeColor="text1"/>
          <w:sz w:val="22"/>
          <w:szCs w:val="22"/>
        </w:rPr>
        <w:t>storey height, the structure would read as a clearly subordinate addition that respects the existing form and character of the dwelling. Its position at ground</w:t>
      </w:r>
      <w:r w:rsidRPr="00B1572B">
        <w:rPr>
          <w:rFonts w:ascii="Cambria Math" w:hAnsi="Cambria Math" w:cs="Cambria Math"/>
          <w:color w:val="000000" w:themeColor="text1"/>
          <w:sz w:val="22"/>
          <w:szCs w:val="22"/>
        </w:rPr>
        <w:t>‑</w:t>
      </w:r>
      <w:r w:rsidRPr="00B1572B">
        <w:rPr>
          <w:rFonts w:ascii="Arial" w:hAnsi="Arial" w:cs="Arial"/>
          <w:color w:val="000000" w:themeColor="text1"/>
          <w:sz w:val="22"/>
          <w:szCs w:val="22"/>
        </w:rPr>
        <w:t xml:space="preserve">floor level, replacing an existing shed, further ensures that the development sits comfortably within the site without altering the balance or appearance of the principal elevations. Owing to its enclosed location between the application property and the adjacent dwelling, the extension would have minimal visibility from the public realm and would not contribute to or detract from the wider </w:t>
      </w:r>
      <w:proofErr w:type="spellStart"/>
      <w:r w:rsidRPr="00B1572B">
        <w:rPr>
          <w:rFonts w:ascii="Arial" w:hAnsi="Arial" w:cs="Arial"/>
          <w:color w:val="000000" w:themeColor="text1"/>
          <w:sz w:val="22"/>
          <w:szCs w:val="22"/>
        </w:rPr>
        <w:t>streetscene</w:t>
      </w:r>
      <w:proofErr w:type="spellEnd"/>
      <w:r w:rsidRPr="00B1572B">
        <w:rPr>
          <w:rFonts w:ascii="Arial" w:hAnsi="Arial" w:cs="Arial"/>
          <w:color w:val="000000" w:themeColor="text1"/>
          <w:sz w:val="22"/>
          <w:szCs w:val="22"/>
        </w:rPr>
        <w:t xml:space="preserve">. This degree of containment also ensures that the proposal has no intervisibility with, or influence upon, the Cotswolds National Landscape. Overall, the scheme </w:t>
      </w:r>
      <w:proofErr w:type="gramStart"/>
      <w:r w:rsidRPr="00B1572B">
        <w:rPr>
          <w:rFonts w:ascii="Arial" w:hAnsi="Arial" w:cs="Arial"/>
          <w:color w:val="000000" w:themeColor="text1"/>
          <w:sz w:val="22"/>
          <w:szCs w:val="22"/>
        </w:rPr>
        <w:t>is considered to be</w:t>
      </w:r>
      <w:proofErr w:type="gramEnd"/>
      <w:r w:rsidRPr="00B1572B">
        <w:rPr>
          <w:rFonts w:ascii="Arial" w:hAnsi="Arial" w:cs="Arial"/>
          <w:color w:val="000000" w:themeColor="text1"/>
          <w:sz w:val="22"/>
          <w:szCs w:val="22"/>
        </w:rPr>
        <w:t xml:space="preserve"> an appropriate and sympathetic form of development that accords with relevant design policies.</w:t>
      </w:r>
    </w:p>
    <w:p w14:paraId="157FB042" w14:textId="664EEF0C" w:rsidR="002D5C84" w:rsidRDefault="002D5C84"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1A7EFEF6" wp14:editId="1D0B6FEC">
            <wp:extent cx="6620510" cy="2794635"/>
            <wp:effectExtent l="0" t="0" r="8890" b="5715"/>
            <wp:docPr id="326021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0510" cy="2794635"/>
                    </a:xfrm>
                    <a:prstGeom prst="rect">
                      <a:avLst/>
                    </a:prstGeom>
                    <a:noFill/>
                    <a:ln>
                      <a:noFill/>
                    </a:ln>
                  </pic:spPr>
                </pic:pic>
              </a:graphicData>
            </a:graphic>
          </wp:inline>
        </w:drawing>
      </w:r>
    </w:p>
    <w:p w14:paraId="0D092B0F" w14:textId="4874E686" w:rsidR="002D5C84" w:rsidRPr="002D5C84" w:rsidRDefault="002D5C84" w:rsidP="002D5C84">
      <w:pPr>
        <w:spacing w:line="276" w:lineRule="auto"/>
        <w:jc w:val="center"/>
        <w:rPr>
          <w:rFonts w:ascii="Arial" w:hAnsi="Arial" w:cs="Arial"/>
          <w:i/>
          <w:iCs/>
          <w:color w:val="000000" w:themeColor="text1"/>
          <w:sz w:val="22"/>
          <w:szCs w:val="22"/>
        </w:rPr>
      </w:pPr>
      <w:r w:rsidRPr="002D5C84">
        <w:rPr>
          <w:rFonts w:ascii="Arial" w:hAnsi="Arial" w:cs="Arial"/>
          <w:i/>
          <w:iCs/>
          <w:color w:val="000000" w:themeColor="text1"/>
          <w:sz w:val="22"/>
          <w:szCs w:val="22"/>
        </w:rPr>
        <w:t>Existing and Proposed Elevations</w:t>
      </w:r>
    </w:p>
    <w:p w14:paraId="25694756" w14:textId="77777777" w:rsidR="002D5C84" w:rsidRDefault="002D5C84" w:rsidP="00CC6665">
      <w:pPr>
        <w:spacing w:line="276" w:lineRule="auto"/>
        <w:jc w:val="both"/>
        <w:rPr>
          <w:rFonts w:ascii="Arial" w:hAnsi="Arial" w:cs="Arial"/>
          <w:color w:val="000000" w:themeColor="text1"/>
          <w:sz w:val="22"/>
          <w:szCs w:val="22"/>
        </w:rPr>
      </w:pPr>
    </w:p>
    <w:p w14:paraId="436F47A3" w14:textId="258A0FF8" w:rsidR="000B6F6F" w:rsidRDefault="000B6F6F" w:rsidP="00CC6665">
      <w:pPr>
        <w:spacing w:line="276" w:lineRule="auto"/>
        <w:jc w:val="both"/>
        <w:rPr>
          <w:rFonts w:ascii="Arial" w:hAnsi="Arial" w:cs="Arial"/>
          <w:color w:val="000000" w:themeColor="text1"/>
          <w:sz w:val="22"/>
          <w:szCs w:val="22"/>
        </w:rPr>
      </w:pPr>
      <w:r w:rsidRPr="000B6F6F">
        <w:rPr>
          <w:rFonts w:ascii="Arial" w:hAnsi="Arial" w:cs="Arial"/>
          <w:noProof/>
          <w:color w:val="000000" w:themeColor="text1"/>
          <w:sz w:val="22"/>
          <w:szCs w:val="22"/>
        </w:rPr>
        <w:drawing>
          <wp:inline distT="0" distB="0" distL="0" distR="0" wp14:anchorId="3C936FBD" wp14:editId="2AA4AD45">
            <wp:extent cx="6629400" cy="3528060"/>
            <wp:effectExtent l="0" t="0" r="0" b="0"/>
            <wp:docPr id="1209508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08758" name=""/>
                    <pic:cNvPicPr/>
                  </pic:nvPicPr>
                  <pic:blipFill>
                    <a:blip r:embed="rId7"/>
                    <a:stretch>
                      <a:fillRect/>
                    </a:stretch>
                  </pic:blipFill>
                  <pic:spPr>
                    <a:xfrm>
                      <a:off x="0" y="0"/>
                      <a:ext cx="6629400" cy="3528060"/>
                    </a:xfrm>
                    <a:prstGeom prst="rect">
                      <a:avLst/>
                    </a:prstGeom>
                  </pic:spPr>
                </pic:pic>
              </a:graphicData>
            </a:graphic>
          </wp:inline>
        </w:drawing>
      </w:r>
    </w:p>
    <w:p w14:paraId="008B16F7" w14:textId="7004F599" w:rsidR="000B6F6F" w:rsidRPr="000B6F6F" w:rsidRDefault="000B6F6F" w:rsidP="000B6F6F">
      <w:pPr>
        <w:spacing w:line="276" w:lineRule="auto"/>
        <w:jc w:val="center"/>
        <w:rPr>
          <w:rFonts w:ascii="Arial" w:hAnsi="Arial" w:cs="Arial"/>
          <w:i/>
          <w:iCs/>
          <w:color w:val="000000" w:themeColor="text1"/>
          <w:sz w:val="22"/>
          <w:szCs w:val="22"/>
        </w:rPr>
      </w:pPr>
      <w:r w:rsidRPr="000B6F6F">
        <w:rPr>
          <w:rFonts w:ascii="Arial" w:hAnsi="Arial" w:cs="Arial"/>
          <w:i/>
          <w:iCs/>
          <w:color w:val="000000" w:themeColor="text1"/>
          <w:sz w:val="22"/>
          <w:szCs w:val="22"/>
        </w:rPr>
        <w:t>Site Visit Image</w:t>
      </w:r>
    </w:p>
    <w:p w14:paraId="33EF098F" w14:textId="77777777" w:rsidR="000B6F6F" w:rsidRPr="00075C07" w:rsidRDefault="000B6F6F" w:rsidP="00CC6665">
      <w:pPr>
        <w:spacing w:line="276" w:lineRule="auto"/>
        <w:jc w:val="both"/>
        <w:rPr>
          <w:rFonts w:ascii="Arial" w:hAnsi="Arial" w:cs="Arial"/>
          <w:color w:val="000000" w:themeColor="text1"/>
          <w:sz w:val="22"/>
          <w:szCs w:val="22"/>
        </w:rPr>
      </w:pPr>
    </w:p>
    <w:p w14:paraId="66BC3641" w14:textId="0AD74674"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w:t>
      </w:r>
      <w:r w:rsidR="002937AF">
        <w:rPr>
          <w:rFonts w:ascii="Arial" w:hAnsi="Arial" w:cs="Arial"/>
          <w:color w:val="000000" w:themeColor="text1"/>
          <w:sz w:val="22"/>
          <w:szCs w:val="22"/>
        </w:rPr>
        <w:t xml:space="preserve"> 51 and</w:t>
      </w:r>
      <w:r w:rsidRPr="00075C07">
        <w:rPr>
          <w:rFonts w:ascii="Arial" w:hAnsi="Arial" w:cs="Arial"/>
          <w:color w:val="000000" w:themeColor="text1"/>
          <w:sz w:val="22"/>
          <w:szCs w:val="22"/>
        </w:rPr>
        <w:t xml:space="preserve">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4B1279BD" w14:textId="410CF8E3" w:rsidR="00BA0474" w:rsidRPr="00D021E6" w:rsidRDefault="00D021E6" w:rsidP="00CC6665">
      <w:pPr>
        <w:spacing w:line="276" w:lineRule="auto"/>
        <w:jc w:val="both"/>
        <w:rPr>
          <w:rFonts w:ascii="Arial" w:hAnsi="Arial" w:cs="Arial"/>
          <w:sz w:val="22"/>
          <w:szCs w:val="22"/>
        </w:rPr>
      </w:pPr>
      <w:r w:rsidRPr="00D021E6">
        <w:rPr>
          <w:rFonts w:ascii="Arial" w:hAnsi="Arial" w:cs="Arial"/>
          <w:sz w:val="22"/>
          <w:szCs w:val="22"/>
        </w:rPr>
        <w:t>The proposed single</w:t>
      </w:r>
      <w:r w:rsidRPr="00D021E6">
        <w:rPr>
          <w:rFonts w:ascii="Cambria Math" w:hAnsi="Cambria Math" w:cs="Cambria Math"/>
          <w:sz w:val="22"/>
          <w:szCs w:val="22"/>
        </w:rPr>
        <w:t>‑</w:t>
      </w:r>
      <w:r w:rsidRPr="00D021E6">
        <w:rPr>
          <w:rFonts w:ascii="Arial" w:hAnsi="Arial" w:cs="Arial"/>
          <w:sz w:val="22"/>
          <w:szCs w:val="22"/>
        </w:rPr>
        <w:t>storey flat</w:t>
      </w:r>
      <w:r w:rsidRPr="00D021E6">
        <w:rPr>
          <w:rFonts w:ascii="Cambria Math" w:hAnsi="Cambria Math" w:cs="Cambria Math"/>
          <w:sz w:val="22"/>
          <w:szCs w:val="22"/>
        </w:rPr>
        <w:t>‑</w:t>
      </w:r>
      <w:r w:rsidRPr="00D021E6">
        <w:rPr>
          <w:rFonts w:ascii="Arial" w:hAnsi="Arial" w:cs="Arial"/>
          <w:sz w:val="22"/>
          <w:szCs w:val="22"/>
        </w:rPr>
        <w:t>roof side extension is modest in scale and positioned such that it would not overbear or overshadow any neighbouring private amenity space, particularly as it lies to the north of the adjoining property and only marginally exceeds the height of existing boundary treatments by approximately 0.6 m. Its siting does not obstruct outlook from any neighbouring windows, and with only a ground</w:t>
      </w:r>
      <w:r w:rsidRPr="00D021E6">
        <w:rPr>
          <w:rFonts w:ascii="Cambria Math" w:hAnsi="Cambria Math" w:cs="Cambria Math"/>
          <w:sz w:val="22"/>
          <w:szCs w:val="22"/>
        </w:rPr>
        <w:t>‑</w:t>
      </w:r>
      <w:r w:rsidRPr="00D021E6">
        <w:rPr>
          <w:rFonts w:ascii="Arial" w:hAnsi="Arial" w:cs="Arial"/>
          <w:sz w:val="22"/>
          <w:szCs w:val="22"/>
        </w:rPr>
        <w:t>level door facing the rear garden and no new windows proposed, the development would not give rise to overlooking or privacy concerns. Overall, the proposal is considered acceptable in terms of residential amenity.</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7FFD7458" w14:textId="77777777" w:rsidR="006C3E6E" w:rsidRDefault="006C3E6E" w:rsidP="00CC6665">
      <w:pPr>
        <w:spacing w:line="276" w:lineRule="auto"/>
        <w:jc w:val="both"/>
        <w:rPr>
          <w:rFonts w:ascii="Arial" w:hAnsi="Arial" w:cs="Arial"/>
          <w:color w:val="FF0000"/>
          <w:sz w:val="22"/>
          <w:szCs w:val="22"/>
        </w:rPr>
      </w:pPr>
    </w:p>
    <w:p w14:paraId="2DDCB3DD" w14:textId="77777777" w:rsidR="003B497C" w:rsidRPr="003B497C" w:rsidRDefault="003B497C" w:rsidP="003B497C">
      <w:pPr>
        <w:spacing w:line="276" w:lineRule="auto"/>
        <w:jc w:val="both"/>
        <w:rPr>
          <w:rFonts w:ascii="Arial" w:hAnsi="Arial" w:cs="Arial"/>
          <w:sz w:val="22"/>
          <w:szCs w:val="22"/>
        </w:rPr>
      </w:pPr>
      <w:r w:rsidRPr="003B497C">
        <w:rPr>
          <w:rFonts w:ascii="Arial" w:hAnsi="Arial" w:cs="Arial"/>
          <w:sz w:val="22"/>
          <w:szCs w:val="22"/>
        </w:rPr>
        <w:t>Core Policies 60 and 61 of the Wiltshire Core Strategy and paragraph 116 of the NPPF require development to ensure safe and efficient movement, consider the transport user hierarchy, and avoid unacceptable impacts on highway safety. As the proposal does not introduce any additional bedrooms or alter existing access or parking arrangements, it would not increase traffic generation or affect highway safety. The scheme therefore raises no transport or highway concerns and is considered acceptable in this regard.</w:t>
      </w:r>
    </w:p>
    <w:p w14:paraId="1FA2703A" w14:textId="77777777" w:rsidR="003B497C" w:rsidRPr="003B497C" w:rsidRDefault="003B497C" w:rsidP="00CC6665">
      <w:pPr>
        <w:spacing w:line="276" w:lineRule="auto"/>
        <w:jc w:val="both"/>
        <w:rPr>
          <w:rFonts w:ascii="Arial" w:hAnsi="Arial" w:cs="Arial"/>
          <w:sz w:val="22"/>
          <w:szCs w:val="22"/>
        </w:rPr>
      </w:pPr>
    </w:p>
    <w:p w14:paraId="473CF778" w14:textId="042654AF" w:rsidR="003B497C" w:rsidRPr="003B497C" w:rsidRDefault="003B497C" w:rsidP="003B497C">
      <w:pPr>
        <w:spacing w:line="276" w:lineRule="auto"/>
        <w:jc w:val="both"/>
        <w:rPr>
          <w:rFonts w:ascii="Arial" w:hAnsi="Arial" w:cs="Arial"/>
          <w:sz w:val="22"/>
          <w:szCs w:val="22"/>
        </w:rPr>
      </w:pPr>
      <w:r w:rsidRPr="003B497C">
        <w:rPr>
          <w:rFonts w:ascii="Arial" w:hAnsi="Arial" w:cs="Arial"/>
          <w:sz w:val="22"/>
          <w:szCs w:val="22"/>
        </w:rPr>
        <w:t xml:space="preserve">Core Policy 50 of the WCS and emerging Policy 88 require development to avoid harm to sensitive habitats and demonstrate application of the mitigation hierarchy, while mandatory Biodiversity Net Gain does not apply to householder development under Schedule 7A of the Town and Country Planning Act 1990. The proposal replaces an existing small shed within an already domestic and </w:t>
      </w:r>
      <w:proofErr w:type="gramStart"/>
      <w:r w:rsidR="00425DD8">
        <w:rPr>
          <w:rFonts w:ascii="Arial" w:hAnsi="Arial" w:cs="Arial"/>
          <w:sz w:val="22"/>
          <w:szCs w:val="22"/>
        </w:rPr>
        <w:t>built up</w:t>
      </w:r>
      <w:proofErr w:type="gramEnd"/>
      <w:r w:rsidRPr="003B497C">
        <w:rPr>
          <w:rFonts w:ascii="Arial" w:hAnsi="Arial" w:cs="Arial"/>
          <w:sz w:val="22"/>
          <w:szCs w:val="22"/>
        </w:rPr>
        <w:t xml:space="preserve"> part of the curtilage, where ecological value is low and potential for habitat disturbance is minimal. The development is therefore considered acceptable with respect to its impact on ecology.</w:t>
      </w:r>
    </w:p>
    <w:p w14:paraId="028944E9" w14:textId="77777777" w:rsidR="003B497C" w:rsidRPr="003B497C" w:rsidRDefault="003B497C" w:rsidP="00CC6665">
      <w:pPr>
        <w:spacing w:line="276" w:lineRule="auto"/>
        <w:jc w:val="both"/>
        <w:rPr>
          <w:rFonts w:ascii="Arial" w:hAnsi="Arial" w:cs="Arial"/>
          <w:sz w:val="22"/>
          <w:szCs w:val="22"/>
        </w:rPr>
      </w:pPr>
    </w:p>
    <w:p w14:paraId="493A044E" w14:textId="470F735E" w:rsidR="003B497C" w:rsidRPr="003B497C" w:rsidRDefault="003B497C" w:rsidP="003B497C">
      <w:pPr>
        <w:spacing w:line="276" w:lineRule="auto"/>
        <w:jc w:val="both"/>
        <w:rPr>
          <w:rFonts w:ascii="Arial" w:hAnsi="Arial" w:cs="Arial"/>
          <w:sz w:val="22"/>
          <w:szCs w:val="22"/>
        </w:rPr>
      </w:pPr>
      <w:r w:rsidRPr="003B497C">
        <w:rPr>
          <w:rFonts w:ascii="Arial" w:hAnsi="Arial" w:cs="Arial"/>
          <w:sz w:val="22"/>
          <w:szCs w:val="22"/>
        </w:rPr>
        <w:t>Core Policy 67, emerging Policy 95, and NPPF guidance require a risk</w:t>
      </w:r>
      <w:r w:rsidRPr="003B497C">
        <w:rPr>
          <w:rFonts w:ascii="Arial" w:hAnsi="Arial" w:cs="Arial"/>
          <w:sz w:val="22"/>
          <w:szCs w:val="22"/>
        </w:rPr>
        <w:noBreakHyphen/>
        <w:t>based approach to flood risk and appropriate surface</w:t>
      </w:r>
      <w:r w:rsidRPr="003B497C">
        <w:rPr>
          <w:rFonts w:ascii="Arial" w:hAnsi="Arial" w:cs="Arial"/>
          <w:sz w:val="22"/>
          <w:szCs w:val="22"/>
        </w:rPr>
        <w:noBreakHyphen/>
        <w:t>water management, although householder development under 250m² is exempt from the sequential and exception tests. The site lies in Flood Zone 1 with only low groundwater</w:t>
      </w:r>
      <w:r w:rsidRPr="003B497C">
        <w:rPr>
          <w:rFonts w:ascii="Arial" w:hAnsi="Arial" w:cs="Arial"/>
          <w:sz w:val="22"/>
          <w:szCs w:val="22"/>
        </w:rPr>
        <w:noBreakHyphen/>
        <w:t>flood risk identified, and the extension would result in only a minor increase in impermeable area, with drainage expected to utilise the existing s</w:t>
      </w:r>
      <w:r w:rsidR="00582BF0">
        <w:rPr>
          <w:rFonts w:ascii="Arial" w:hAnsi="Arial" w:cs="Arial"/>
          <w:sz w:val="22"/>
          <w:szCs w:val="22"/>
        </w:rPr>
        <w:t xml:space="preserve">ite </w:t>
      </w:r>
      <w:r w:rsidR="00B63F2F">
        <w:rPr>
          <w:rFonts w:ascii="Arial" w:hAnsi="Arial" w:cs="Arial"/>
          <w:sz w:val="22"/>
          <w:szCs w:val="22"/>
        </w:rPr>
        <w:t>systems</w:t>
      </w:r>
      <w:r w:rsidRPr="003B497C">
        <w:rPr>
          <w:rFonts w:ascii="Arial" w:hAnsi="Arial" w:cs="Arial"/>
          <w:sz w:val="22"/>
          <w:szCs w:val="22"/>
        </w:rPr>
        <w:t>. Given the small scale of works and absence of any identified concerns, the proposal is considered acceptable in terms of flooding and drainage.</w:t>
      </w:r>
    </w:p>
    <w:p w14:paraId="5D6D342A" w14:textId="77777777" w:rsidR="00E87BBC" w:rsidRDefault="00E87BBC" w:rsidP="00EC61CC">
      <w:pPr>
        <w:pStyle w:val="NormalWeb"/>
        <w:spacing w:before="0" w:beforeAutospacing="0" w:after="0" w:afterAutospacing="0" w:line="276" w:lineRule="auto"/>
        <w:jc w:val="both"/>
        <w:rPr>
          <w:rFonts w:ascii="Arial" w:hAnsi="Arial" w:cs="Arial"/>
          <w:sz w:val="22"/>
          <w:szCs w:val="22"/>
        </w:rPr>
      </w:pPr>
    </w:p>
    <w:p w14:paraId="12174E0E" w14:textId="77777777" w:rsidR="00E87BBC" w:rsidRPr="00EC61CC" w:rsidRDefault="00E87BB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6049CDC2" w14:textId="77777777" w:rsidR="00A17006"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791F39F9" w:rsidR="00075C07" w:rsidRPr="00A17006" w:rsidRDefault="00B70004" w:rsidP="00CC6665">
      <w:pPr>
        <w:pStyle w:val="ListParagraph"/>
        <w:tabs>
          <w:tab w:val="num" w:pos="567"/>
        </w:tabs>
        <w:spacing w:line="276" w:lineRule="auto"/>
        <w:ind w:left="567" w:hanging="567"/>
        <w:jc w:val="both"/>
        <w:rPr>
          <w:rFonts w:ascii="Arial" w:hAnsi="Arial" w:cs="Arial"/>
          <w:sz w:val="22"/>
          <w:szCs w:val="22"/>
        </w:rPr>
      </w:pPr>
      <w:r w:rsidRPr="00A17006">
        <w:rPr>
          <w:rFonts w:ascii="Arial" w:hAnsi="Arial" w:cs="Arial"/>
          <w:sz w:val="22"/>
          <w:szCs w:val="22"/>
        </w:rPr>
        <w:t>Location Plan 2814-1 (12 February 2026)</w:t>
      </w:r>
    </w:p>
    <w:p w14:paraId="20988525" w14:textId="04D8227B" w:rsidR="00B70004" w:rsidRPr="00A17006" w:rsidRDefault="00B70004" w:rsidP="00CC6665">
      <w:pPr>
        <w:pStyle w:val="ListParagraph"/>
        <w:tabs>
          <w:tab w:val="num" w:pos="567"/>
        </w:tabs>
        <w:spacing w:line="276" w:lineRule="auto"/>
        <w:ind w:left="567" w:hanging="567"/>
        <w:jc w:val="both"/>
        <w:rPr>
          <w:rFonts w:ascii="Arial" w:hAnsi="Arial" w:cs="Arial"/>
          <w:sz w:val="22"/>
          <w:szCs w:val="22"/>
        </w:rPr>
      </w:pPr>
      <w:r w:rsidRPr="00A17006">
        <w:rPr>
          <w:rFonts w:ascii="Arial" w:hAnsi="Arial" w:cs="Arial"/>
          <w:sz w:val="22"/>
          <w:szCs w:val="22"/>
        </w:rPr>
        <w:t>Proposed Plans and Elevations 2814-2 (12 February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177E"/>
    <w:rsid w:val="00062A40"/>
    <w:rsid w:val="00066706"/>
    <w:rsid w:val="0007364A"/>
    <w:rsid w:val="00075C07"/>
    <w:rsid w:val="00081734"/>
    <w:rsid w:val="0008663E"/>
    <w:rsid w:val="00087823"/>
    <w:rsid w:val="000B0456"/>
    <w:rsid w:val="000B3CAF"/>
    <w:rsid w:val="000B4D97"/>
    <w:rsid w:val="000B6F6F"/>
    <w:rsid w:val="000C6EF7"/>
    <w:rsid w:val="000D01DA"/>
    <w:rsid w:val="000D0E39"/>
    <w:rsid w:val="000D4E87"/>
    <w:rsid w:val="000E3596"/>
    <w:rsid w:val="000E38BA"/>
    <w:rsid w:val="000F1D22"/>
    <w:rsid w:val="001003C2"/>
    <w:rsid w:val="00110FD1"/>
    <w:rsid w:val="00112A1D"/>
    <w:rsid w:val="00113A8D"/>
    <w:rsid w:val="0012283E"/>
    <w:rsid w:val="0012332F"/>
    <w:rsid w:val="001251AE"/>
    <w:rsid w:val="001424D4"/>
    <w:rsid w:val="0015620C"/>
    <w:rsid w:val="0016397C"/>
    <w:rsid w:val="00164DC7"/>
    <w:rsid w:val="0017440C"/>
    <w:rsid w:val="0018465E"/>
    <w:rsid w:val="001929B3"/>
    <w:rsid w:val="00193EC7"/>
    <w:rsid w:val="00194304"/>
    <w:rsid w:val="001A0A2E"/>
    <w:rsid w:val="001A0F50"/>
    <w:rsid w:val="001A14B2"/>
    <w:rsid w:val="001A2162"/>
    <w:rsid w:val="001B17F8"/>
    <w:rsid w:val="001B2AF4"/>
    <w:rsid w:val="001C4291"/>
    <w:rsid w:val="001C770A"/>
    <w:rsid w:val="001D3680"/>
    <w:rsid w:val="001E210B"/>
    <w:rsid w:val="001F52AF"/>
    <w:rsid w:val="00212E9D"/>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937AF"/>
    <w:rsid w:val="002A0353"/>
    <w:rsid w:val="002A1715"/>
    <w:rsid w:val="002A73D1"/>
    <w:rsid w:val="002B2380"/>
    <w:rsid w:val="002B4AC7"/>
    <w:rsid w:val="002B5192"/>
    <w:rsid w:val="002C4607"/>
    <w:rsid w:val="002C650A"/>
    <w:rsid w:val="002D5C84"/>
    <w:rsid w:val="002E02F9"/>
    <w:rsid w:val="002E6332"/>
    <w:rsid w:val="002E6872"/>
    <w:rsid w:val="002F4101"/>
    <w:rsid w:val="002F53F9"/>
    <w:rsid w:val="00303570"/>
    <w:rsid w:val="00304DA1"/>
    <w:rsid w:val="00306089"/>
    <w:rsid w:val="00313982"/>
    <w:rsid w:val="003240DB"/>
    <w:rsid w:val="003274FA"/>
    <w:rsid w:val="00327F1B"/>
    <w:rsid w:val="0033669A"/>
    <w:rsid w:val="00341989"/>
    <w:rsid w:val="0035771C"/>
    <w:rsid w:val="00363BD7"/>
    <w:rsid w:val="00371825"/>
    <w:rsid w:val="00371AAC"/>
    <w:rsid w:val="00374312"/>
    <w:rsid w:val="00383F2A"/>
    <w:rsid w:val="00387981"/>
    <w:rsid w:val="00393865"/>
    <w:rsid w:val="003A1308"/>
    <w:rsid w:val="003A3155"/>
    <w:rsid w:val="003A7F6C"/>
    <w:rsid w:val="003B136F"/>
    <w:rsid w:val="003B26C9"/>
    <w:rsid w:val="003B4330"/>
    <w:rsid w:val="003B4451"/>
    <w:rsid w:val="003B497C"/>
    <w:rsid w:val="003C3FF7"/>
    <w:rsid w:val="003C76C7"/>
    <w:rsid w:val="003C7844"/>
    <w:rsid w:val="003D015A"/>
    <w:rsid w:val="003D1E9D"/>
    <w:rsid w:val="003D5C26"/>
    <w:rsid w:val="003E43F6"/>
    <w:rsid w:val="00402DEE"/>
    <w:rsid w:val="00403FEB"/>
    <w:rsid w:val="00406E82"/>
    <w:rsid w:val="0041549C"/>
    <w:rsid w:val="00417846"/>
    <w:rsid w:val="00420159"/>
    <w:rsid w:val="00421DC5"/>
    <w:rsid w:val="004226F2"/>
    <w:rsid w:val="004228A8"/>
    <w:rsid w:val="00425DD8"/>
    <w:rsid w:val="00430977"/>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3D2"/>
    <w:rsid w:val="00491172"/>
    <w:rsid w:val="00492EB4"/>
    <w:rsid w:val="00495945"/>
    <w:rsid w:val="004A0B45"/>
    <w:rsid w:val="004A59AA"/>
    <w:rsid w:val="004B0D89"/>
    <w:rsid w:val="004C0D09"/>
    <w:rsid w:val="004D1B58"/>
    <w:rsid w:val="004D20B5"/>
    <w:rsid w:val="004D29B9"/>
    <w:rsid w:val="004E5366"/>
    <w:rsid w:val="004E5947"/>
    <w:rsid w:val="004E7A6C"/>
    <w:rsid w:val="004F26D5"/>
    <w:rsid w:val="004F57B4"/>
    <w:rsid w:val="0050043D"/>
    <w:rsid w:val="0051231F"/>
    <w:rsid w:val="0051622F"/>
    <w:rsid w:val="005214B8"/>
    <w:rsid w:val="00522A6A"/>
    <w:rsid w:val="0053334B"/>
    <w:rsid w:val="00540D8E"/>
    <w:rsid w:val="005435B4"/>
    <w:rsid w:val="00552306"/>
    <w:rsid w:val="00554E40"/>
    <w:rsid w:val="00556B5B"/>
    <w:rsid w:val="00557B1E"/>
    <w:rsid w:val="00561AE7"/>
    <w:rsid w:val="0056508E"/>
    <w:rsid w:val="00580DA8"/>
    <w:rsid w:val="00582BF0"/>
    <w:rsid w:val="00594C14"/>
    <w:rsid w:val="005A3D8E"/>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4357"/>
    <w:rsid w:val="006325D0"/>
    <w:rsid w:val="006361C6"/>
    <w:rsid w:val="00640499"/>
    <w:rsid w:val="0064099D"/>
    <w:rsid w:val="0064468A"/>
    <w:rsid w:val="006475CE"/>
    <w:rsid w:val="00650186"/>
    <w:rsid w:val="00652B96"/>
    <w:rsid w:val="00653201"/>
    <w:rsid w:val="006646C2"/>
    <w:rsid w:val="00666AB4"/>
    <w:rsid w:val="0067097F"/>
    <w:rsid w:val="006765B6"/>
    <w:rsid w:val="00685272"/>
    <w:rsid w:val="00687041"/>
    <w:rsid w:val="00694DDA"/>
    <w:rsid w:val="006968E4"/>
    <w:rsid w:val="006A046D"/>
    <w:rsid w:val="006A676B"/>
    <w:rsid w:val="006B4ED4"/>
    <w:rsid w:val="006C0878"/>
    <w:rsid w:val="006C1101"/>
    <w:rsid w:val="006C3E6E"/>
    <w:rsid w:val="006C68D8"/>
    <w:rsid w:val="006D2DAA"/>
    <w:rsid w:val="006E26D9"/>
    <w:rsid w:val="006E7161"/>
    <w:rsid w:val="006F3CE5"/>
    <w:rsid w:val="006F6EEE"/>
    <w:rsid w:val="0070044B"/>
    <w:rsid w:val="00701E79"/>
    <w:rsid w:val="00710117"/>
    <w:rsid w:val="007126AD"/>
    <w:rsid w:val="00713A31"/>
    <w:rsid w:val="00724032"/>
    <w:rsid w:val="0072500F"/>
    <w:rsid w:val="0072605C"/>
    <w:rsid w:val="007336B3"/>
    <w:rsid w:val="0073376C"/>
    <w:rsid w:val="00751CD6"/>
    <w:rsid w:val="0076074E"/>
    <w:rsid w:val="00765813"/>
    <w:rsid w:val="00773C1F"/>
    <w:rsid w:val="00774BF0"/>
    <w:rsid w:val="00777F61"/>
    <w:rsid w:val="0078630E"/>
    <w:rsid w:val="00794688"/>
    <w:rsid w:val="007A3D0E"/>
    <w:rsid w:val="007A5705"/>
    <w:rsid w:val="007A61A7"/>
    <w:rsid w:val="007B08E5"/>
    <w:rsid w:val="007B2237"/>
    <w:rsid w:val="007B2589"/>
    <w:rsid w:val="007B3765"/>
    <w:rsid w:val="007C39AA"/>
    <w:rsid w:val="007C4434"/>
    <w:rsid w:val="007C4A7D"/>
    <w:rsid w:val="007C5693"/>
    <w:rsid w:val="007D167B"/>
    <w:rsid w:val="007D69FB"/>
    <w:rsid w:val="007E0B02"/>
    <w:rsid w:val="007E19A1"/>
    <w:rsid w:val="007F204C"/>
    <w:rsid w:val="00812AF8"/>
    <w:rsid w:val="0081484B"/>
    <w:rsid w:val="00820464"/>
    <w:rsid w:val="00827534"/>
    <w:rsid w:val="00827906"/>
    <w:rsid w:val="00831793"/>
    <w:rsid w:val="00841628"/>
    <w:rsid w:val="008461DA"/>
    <w:rsid w:val="00852B01"/>
    <w:rsid w:val="00856BF8"/>
    <w:rsid w:val="008610E2"/>
    <w:rsid w:val="0086349B"/>
    <w:rsid w:val="0086459F"/>
    <w:rsid w:val="00871565"/>
    <w:rsid w:val="00874E1A"/>
    <w:rsid w:val="0088368E"/>
    <w:rsid w:val="00890257"/>
    <w:rsid w:val="0089746E"/>
    <w:rsid w:val="0089794B"/>
    <w:rsid w:val="008A6179"/>
    <w:rsid w:val="008B1BB2"/>
    <w:rsid w:val="008B6D55"/>
    <w:rsid w:val="008B781F"/>
    <w:rsid w:val="008C2CBB"/>
    <w:rsid w:val="008D5791"/>
    <w:rsid w:val="008D6C52"/>
    <w:rsid w:val="008E5C53"/>
    <w:rsid w:val="008F1CFF"/>
    <w:rsid w:val="008F7CFB"/>
    <w:rsid w:val="00905C36"/>
    <w:rsid w:val="00911C57"/>
    <w:rsid w:val="00914E93"/>
    <w:rsid w:val="00921461"/>
    <w:rsid w:val="00937BE7"/>
    <w:rsid w:val="009427F0"/>
    <w:rsid w:val="00944708"/>
    <w:rsid w:val="00946DDB"/>
    <w:rsid w:val="00946F08"/>
    <w:rsid w:val="00951DC4"/>
    <w:rsid w:val="00960475"/>
    <w:rsid w:val="0096645B"/>
    <w:rsid w:val="009753A2"/>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A17006"/>
    <w:rsid w:val="00A30B7E"/>
    <w:rsid w:val="00A349B0"/>
    <w:rsid w:val="00A37686"/>
    <w:rsid w:val="00A42C19"/>
    <w:rsid w:val="00A4573C"/>
    <w:rsid w:val="00A619AF"/>
    <w:rsid w:val="00A65218"/>
    <w:rsid w:val="00A71CD4"/>
    <w:rsid w:val="00A84775"/>
    <w:rsid w:val="00A860E2"/>
    <w:rsid w:val="00A9321F"/>
    <w:rsid w:val="00A938B9"/>
    <w:rsid w:val="00AA3D23"/>
    <w:rsid w:val="00AB1E61"/>
    <w:rsid w:val="00AB2910"/>
    <w:rsid w:val="00AC22E2"/>
    <w:rsid w:val="00AC499A"/>
    <w:rsid w:val="00AC6F8D"/>
    <w:rsid w:val="00AD0940"/>
    <w:rsid w:val="00AD1819"/>
    <w:rsid w:val="00AD3402"/>
    <w:rsid w:val="00AD4290"/>
    <w:rsid w:val="00AE3D1A"/>
    <w:rsid w:val="00AE53C4"/>
    <w:rsid w:val="00B046BB"/>
    <w:rsid w:val="00B125B4"/>
    <w:rsid w:val="00B149EB"/>
    <w:rsid w:val="00B1572B"/>
    <w:rsid w:val="00B15AD7"/>
    <w:rsid w:val="00B16AEF"/>
    <w:rsid w:val="00B20C1F"/>
    <w:rsid w:val="00B21D27"/>
    <w:rsid w:val="00B27418"/>
    <w:rsid w:val="00B31880"/>
    <w:rsid w:val="00B40BA3"/>
    <w:rsid w:val="00B41FA9"/>
    <w:rsid w:val="00B42171"/>
    <w:rsid w:val="00B47DE8"/>
    <w:rsid w:val="00B53A9C"/>
    <w:rsid w:val="00B5556F"/>
    <w:rsid w:val="00B62AC6"/>
    <w:rsid w:val="00B63F2F"/>
    <w:rsid w:val="00B70004"/>
    <w:rsid w:val="00B812E0"/>
    <w:rsid w:val="00B86414"/>
    <w:rsid w:val="00B86CE9"/>
    <w:rsid w:val="00BA0474"/>
    <w:rsid w:val="00BB0A86"/>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0213E"/>
    <w:rsid w:val="00C02D65"/>
    <w:rsid w:val="00C25413"/>
    <w:rsid w:val="00C328B6"/>
    <w:rsid w:val="00C44B5F"/>
    <w:rsid w:val="00C53B6A"/>
    <w:rsid w:val="00C563CE"/>
    <w:rsid w:val="00C56682"/>
    <w:rsid w:val="00C568B6"/>
    <w:rsid w:val="00C63478"/>
    <w:rsid w:val="00C64924"/>
    <w:rsid w:val="00C664A5"/>
    <w:rsid w:val="00C71367"/>
    <w:rsid w:val="00C77C50"/>
    <w:rsid w:val="00C848E4"/>
    <w:rsid w:val="00C94CB8"/>
    <w:rsid w:val="00CB502A"/>
    <w:rsid w:val="00CC03E4"/>
    <w:rsid w:val="00CC144B"/>
    <w:rsid w:val="00CC6665"/>
    <w:rsid w:val="00CD6B35"/>
    <w:rsid w:val="00CF554E"/>
    <w:rsid w:val="00D00163"/>
    <w:rsid w:val="00D021E6"/>
    <w:rsid w:val="00D068FB"/>
    <w:rsid w:val="00D077DE"/>
    <w:rsid w:val="00D132AC"/>
    <w:rsid w:val="00D14819"/>
    <w:rsid w:val="00D1724C"/>
    <w:rsid w:val="00D17D67"/>
    <w:rsid w:val="00D21893"/>
    <w:rsid w:val="00D230F8"/>
    <w:rsid w:val="00D26887"/>
    <w:rsid w:val="00D302CF"/>
    <w:rsid w:val="00D349DE"/>
    <w:rsid w:val="00D34D83"/>
    <w:rsid w:val="00D40240"/>
    <w:rsid w:val="00D40959"/>
    <w:rsid w:val="00D422AF"/>
    <w:rsid w:val="00D61D82"/>
    <w:rsid w:val="00D66197"/>
    <w:rsid w:val="00D70231"/>
    <w:rsid w:val="00DA037B"/>
    <w:rsid w:val="00DA5825"/>
    <w:rsid w:val="00DC4C05"/>
    <w:rsid w:val="00DC4F3E"/>
    <w:rsid w:val="00DC64E7"/>
    <w:rsid w:val="00DD29A1"/>
    <w:rsid w:val="00DE34F6"/>
    <w:rsid w:val="00DE745B"/>
    <w:rsid w:val="00DE7788"/>
    <w:rsid w:val="00E14337"/>
    <w:rsid w:val="00E179DC"/>
    <w:rsid w:val="00E362CA"/>
    <w:rsid w:val="00E36A09"/>
    <w:rsid w:val="00E43B49"/>
    <w:rsid w:val="00E55D48"/>
    <w:rsid w:val="00E600A1"/>
    <w:rsid w:val="00E64624"/>
    <w:rsid w:val="00E746AD"/>
    <w:rsid w:val="00E747FF"/>
    <w:rsid w:val="00E82298"/>
    <w:rsid w:val="00E85E15"/>
    <w:rsid w:val="00E87BBC"/>
    <w:rsid w:val="00E93D2E"/>
    <w:rsid w:val="00E94629"/>
    <w:rsid w:val="00EA0C6C"/>
    <w:rsid w:val="00EB3DCC"/>
    <w:rsid w:val="00EC249D"/>
    <w:rsid w:val="00EC5894"/>
    <w:rsid w:val="00EC61CC"/>
    <w:rsid w:val="00ED180D"/>
    <w:rsid w:val="00EE28CA"/>
    <w:rsid w:val="00EF01B2"/>
    <w:rsid w:val="00EF4944"/>
    <w:rsid w:val="00EF556E"/>
    <w:rsid w:val="00EF7DEB"/>
    <w:rsid w:val="00F07090"/>
    <w:rsid w:val="00F168AD"/>
    <w:rsid w:val="00F1756F"/>
    <w:rsid w:val="00F21CAC"/>
    <w:rsid w:val="00F221E9"/>
    <w:rsid w:val="00F23765"/>
    <w:rsid w:val="00F35E07"/>
    <w:rsid w:val="00F40F94"/>
    <w:rsid w:val="00F45C7C"/>
    <w:rsid w:val="00F47F0A"/>
    <w:rsid w:val="00F5017A"/>
    <w:rsid w:val="00F60F64"/>
    <w:rsid w:val="00F61A37"/>
    <w:rsid w:val="00F703B8"/>
    <w:rsid w:val="00F731EA"/>
    <w:rsid w:val="00F8024A"/>
    <w:rsid w:val="00F80B6C"/>
    <w:rsid w:val="00F86950"/>
    <w:rsid w:val="00F95080"/>
    <w:rsid w:val="00F96130"/>
    <w:rsid w:val="00F9784D"/>
    <w:rsid w:val="00F97994"/>
    <w:rsid w:val="00FA1A62"/>
    <w:rsid w:val="00FB1E29"/>
    <w:rsid w:val="00FB21BA"/>
    <w:rsid w:val="00FD4D99"/>
    <w:rsid w:val="00FD4F9F"/>
    <w:rsid w:val="00FD706E"/>
    <w:rsid w:val="00FE0FB2"/>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111</TotalTime>
  <Pages>1</Pages>
  <Words>1486</Words>
  <Characters>8590</Characters>
  <Application>Microsoft Office Word</Application>
  <DocSecurity>0</DocSecurity>
  <Lines>220</Lines>
  <Paragraphs>106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130</cp:revision>
  <cp:lastPrinted>2007-12-19T10:51:00Z</cp:lastPrinted>
  <dcterms:created xsi:type="dcterms:W3CDTF">2025-06-02T09:27:00Z</dcterms:created>
  <dcterms:modified xsi:type="dcterms:W3CDTF">2026-03-30T14:55:00Z</dcterms:modified>
</cp:coreProperties>
</file>