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2C5870" w14:textId="56543B37" w:rsidR="006D22FC" w:rsidRPr="00801D65" w:rsidRDefault="006D22FC" w:rsidP="006D22FC">
      <w:pPr>
        <w:rPr>
          <w:rFonts w:cs="Arial"/>
          <w:color w:val="181818"/>
          <w:shd w:val="clear" w:color="auto" w:fill="FFFFFF"/>
        </w:rPr>
      </w:pPr>
      <w:r w:rsidRPr="00801D65">
        <w:rPr>
          <w:rFonts w:cs="Arial"/>
          <w:color w:val="181818"/>
          <w:shd w:val="clear" w:color="auto" w:fill="FFFFFF"/>
        </w:rPr>
        <w:t>202</w:t>
      </w:r>
      <w:r>
        <w:rPr>
          <w:rFonts w:cs="Arial"/>
          <w:color w:val="181818"/>
          <w:shd w:val="clear" w:color="auto" w:fill="FFFFFF"/>
        </w:rPr>
        <w:t>6/01024 Variation of Condition 2(Approved Plans) PL2025/08061</w:t>
      </w:r>
      <w:r>
        <w:rPr>
          <w:rFonts w:cs="Arial"/>
          <w:color w:val="181818"/>
          <w:shd w:val="clear" w:color="auto" w:fill="FFFFFF"/>
        </w:rPr>
        <w:t xml:space="preserve"> </w:t>
      </w:r>
      <w:r w:rsidRPr="00801D65">
        <w:rPr>
          <w:rFonts w:cs="Arial"/>
          <w:color w:val="181818"/>
          <w:shd w:val="clear" w:color="auto" w:fill="FFFFFF"/>
        </w:rPr>
        <w:t xml:space="preserve"> </w:t>
      </w:r>
    </w:p>
    <w:p w14:paraId="7F49ABD5" w14:textId="77777777" w:rsidR="006D22FC" w:rsidRPr="00D46F8E" w:rsidRDefault="006D22FC" w:rsidP="006D22FC">
      <w:pPr>
        <w:rPr>
          <w:rFonts w:cs="Arial"/>
          <w:color w:val="181818"/>
          <w:shd w:val="clear" w:color="auto" w:fill="FFFFFF"/>
        </w:rPr>
      </w:pPr>
      <w:r w:rsidRPr="00801D65">
        <w:rPr>
          <w:rFonts w:cs="Arial"/>
        </w:rPr>
        <w:t xml:space="preserve">Site: </w:t>
      </w:r>
      <w:r w:rsidRPr="0006429A">
        <w:rPr>
          <w:rFonts w:cs="Arial"/>
          <w:color w:val="181818"/>
          <w:shd w:val="clear" w:color="auto" w:fill="FFFFFF"/>
        </w:rPr>
        <w:t>117 High Street RWB SN4 7AU</w:t>
      </w:r>
    </w:p>
    <w:p w14:paraId="485200D7" w14:textId="7F518DEF" w:rsidR="006D22FC" w:rsidRPr="00A40D89" w:rsidRDefault="006D22FC" w:rsidP="006D22FC">
      <w:pPr>
        <w:spacing w:after="0"/>
        <w:contextualSpacing w:val="0"/>
        <w:textAlignment w:val="top"/>
        <w:rPr>
          <w:rFonts w:eastAsia="Times New Roman" w:cs="Arial"/>
          <w:lang w:eastAsia="en-GB"/>
        </w:rPr>
      </w:pPr>
      <w:r w:rsidRPr="00D46F8E">
        <w:rPr>
          <w:rFonts w:eastAsia="Times New Roman" w:cs="Arial"/>
          <w:bdr w:val="none" w:sz="0" w:space="0" w:color="auto" w:frame="1"/>
          <w:lang w:eastAsia="en-GB"/>
        </w:rPr>
        <w:t>Proposal</w:t>
      </w:r>
      <w:r>
        <w:rPr>
          <w:rFonts w:eastAsia="Times New Roman" w:cs="Arial"/>
          <w:bdr w:val="none" w:sz="0" w:space="0" w:color="auto" w:frame="1"/>
          <w:lang w:eastAsia="en-GB"/>
        </w:rPr>
        <w:t>:</w:t>
      </w:r>
      <w:bookmarkStart w:id="0" w:name="_Hlk198131413"/>
      <w:r w:rsidRPr="00A40D89">
        <w:rPr>
          <w:rFonts w:ascii="Segoe UI" w:hAnsi="Segoe UI" w:cs="Segoe UI"/>
          <w:color w:val="181818"/>
          <w:sz w:val="21"/>
          <w:szCs w:val="21"/>
          <w:shd w:val="clear" w:color="auto" w:fill="FFFFFF"/>
        </w:rPr>
        <w:t xml:space="preserve"> </w:t>
      </w:r>
      <w:bookmarkStart w:id="1" w:name="_Hlk201844091"/>
      <w:r>
        <w:rPr>
          <w:rFonts w:cs="Arial"/>
          <w:color w:val="181818"/>
          <w:shd w:val="clear" w:color="auto" w:fill="FFFFFF"/>
        </w:rPr>
        <w:t>Variation of Condition 2</w:t>
      </w:r>
      <w:r>
        <w:rPr>
          <w:rFonts w:cs="Arial"/>
          <w:color w:val="181818"/>
          <w:shd w:val="clear" w:color="auto" w:fill="FFFFFF"/>
        </w:rPr>
        <w:t xml:space="preserve"> </w:t>
      </w:r>
      <w:r>
        <w:rPr>
          <w:rFonts w:cs="Arial"/>
          <w:color w:val="181818"/>
          <w:shd w:val="clear" w:color="auto" w:fill="FFFFFF"/>
        </w:rPr>
        <w:t>(Approved Plans) PL2025/</w:t>
      </w:r>
      <w:bookmarkEnd w:id="1"/>
    </w:p>
    <w:bookmarkEnd w:id="0"/>
    <w:p w14:paraId="0CF718B1" w14:textId="77777777" w:rsidR="006D22FC" w:rsidRDefault="006D22FC" w:rsidP="006D22FC">
      <w:pPr>
        <w:rPr>
          <w:rFonts w:cs="Arial"/>
        </w:rPr>
      </w:pPr>
      <w:r>
        <w:rPr>
          <w:rFonts w:cs="Arial"/>
        </w:rPr>
        <w:t>________________________________________________________________________</w:t>
      </w:r>
    </w:p>
    <w:p w14:paraId="7E7AF6F1" w14:textId="77777777" w:rsidR="006D22FC" w:rsidRDefault="006D22FC" w:rsidP="006D22FC">
      <w:pPr>
        <w:rPr>
          <w:rFonts w:cs="Arial"/>
        </w:rPr>
      </w:pPr>
    </w:p>
    <w:p w14:paraId="4E60880A" w14:textId="77777777" w:rsidR="006D22FC" w:rsidRPr="000E07EE" w:rsidRDefault="006D22FC" w:rsidP="006D22FC">
      <w:pPr>
        <w:tabs>
          <w:tab w:val="left" w:pos="1701"/>
        </w:tabs>
        <w:spacing w:after="0"/>
        <w:contextualSpacing w:val="0"/>
        <w:jc w:val="both"/>
        <w:rPr>
          <w:rFonts w:eastAsia="Times New Roman" w:cs="Times New Roman"/>
          <w:b/>
          <w:sz w:val="20"/>
          <w:szCs w:val="20"/>
          <w:u w:val="single"/>
          <w:lang w:eastAsia="en-GB"/>
        </w:rPr>
      </w:pPr>
      <w:r w:rsidRPr="000E07EE">
        <w:rPr>
          <w:rFonts w:eastAsia="Times New Roman" w:cs="Times New Roman"/>
          <w:b/>
          <w:sz w:val="20"/>
          <w:szCs w:val="20"/>
          <w:u w:val="single"/>
          <w:lang w:eastAsia="en-GB"/>
        </w:rPr>
        <w:t>Recommendations:</w:t>
      </w:r>
    </w:p>
    <w:p w14:paraId="684FD7A6" w14:textId="77777777" w:rsidR="006D22FC" w:rsidRPr="000E07EE" w:rsidRDefault="006D22FC" w:rsidP="006D22FC">
      <w:pPr>
        <w:tabs>
          <w:tab w:val="left" w:pos="1701"/>
        </w:tabs>
        <w:spacing w:after="0"/>
        <w:contextualSpacing w:val="0"/>
        <w:jc w:val="both"/>
        <w:rPr>
          <w:rFonts w:eastAsia="Times New Roman" w:cs="Times New Roman"/>
          <w:sz w:val="20"/>
          <w:szCs w:val="20"/>
          <w:lang w:eastAsia="en-GB"/>
        </w:rPr>
      </w:pPr>
    </w:p>
    <w:tbl>
      <w:tblPr>
        <w:tblW w:w="0" w:type="auto"/>
        <w:tblInd w:w="250" w:type="dxa"/>
        <w:tblLook w:val="04A0" w:firstRow="1" w:lastRow="0" w:firstColumn="1" w:lastColumn="0" w:noHBand="0" w:noVBand="1"/>
      </w:tblPr>
      <w:tblGrid>
        <w:gridCol w:w="721"/>
        <w:gridCol w:w="8050"/>
      </w:tblGrid>
      <w:tr w:rsidR="006D22FC" w:rsidRPr="000E07EE" w14:paraId="21DA46FC" w14:textId="77777777" w:rsidTr="00012BCB">
        <w:trPr>
          <w:trHeight w:val="252"/>
        </w:trPr>
        <w:tc>
          <w:tcPr>
            <w:tcW w:w="750" w:type="dxa"/>
            <w:tcBorders>
              <w:top w:val="single" w:sz="4" w:space="0" w:color="auto"/>
              <w:left w:val="single" w:sz="4" w:space="0" w:color="auto"/>
              <w:bottom w:val="single" w:sz="4" w:space="0" w:color="auto"/>
              <w:right w:val="single" w:sz="4" w:space="0" w:color="auto"/>
            </w:tcBorders>
          </w:tcPr>
          <w:p w14:paraId="5A10EA59" w14:textId="77777777" w:rsidR="006D22FC" w:rsidRPr="000E07EE" w:rsidRDefault="006D22FC" w:rsidP="00012BCB">
            <w:pPr>
              <w:tabs>
                <w:tab w:val="left" w:pos="1701"/>
              </w:tabs>
              <w:spacing w:after="0"/>
              <w:contextualSpacing w:val="0"/>
              <w:jc w:val="both"/>
              <w:rPr>
                <w:rFonts w:eastAsia="Times New Roman" w:cs="Times New Roman"/>
                <w:sz w:val="20"/>
                <w:szCs w:val="20"/>
                <w:lang w:eastAsia="en-GB"/>
              </w:rPr>
            </w:pPr>
            <w:r>
              <w:rPr>
                <w:rFonts w:eastAsia="Times New Roman" w:cs="Times New Roman"/>
                <w:sz w:val="20"/>
                <w:szCs w:val="20"/>
                <w:lang w:eastAsia="en-GB"/>
              </w:rPr>
              <w:t>X</w:t>
            </w:r>
          </w:p>
        </w:tc>
        <w:tc>
          <w:tcPr>
            <w:tcW w:w="8562" w:type="dxa"/>
            <w:tcBorders>
              <w:top w:val="nil"/>
              <w:left w:val="single" w:sz="4" w:space="0" w:color="auto"/>
              <w:bottom w:val="nil"/>
              <w:right w:val="nil"/>
            </w:tcBorders>
            <w:hideMark/>
          </w:tcPr>
          <w:p w14:paraId="55FB3983" w14:textId="77777777" w:rsidR="006D22FC" w:rsidRPr="000E07EE" w:rsidRDefault="006D22FC" w:rsidP="00012BCB">
            <w:pPr>
              <w:tabs>
                <w:tab w:val="left" w:pos="720"/>
                <w:tab w:val="left" w:pos="1701"/>
              </w:tabs>
              <w:spacing w:after="0"/>
              <w:ind w:firstLine="175"/>
              <w:contextualSpacing w:val="0"/>
              <w:jc w:val="both"/>
              <w:rPr>
                <w:rFonts w:eastAsia="Times New Roman" w:cs="Times New Roman"/>
                <w:sz w:val="20"/>
                <w:szCs w:val="20"/>
                <w:lang w:eastAsia="en-GB"/>
              </w:rPr>
            </w:pPr>
            <w:r>
              <w:rPr>
                <w:rFonts w:eastAsia="Times New Roman" w:cs="Times New Roman"/>
                <w:sz w:val="20"/>
                <w:szCs w:val="20"/>
                <w:lang w:eastAsia="en-GB"/>
              </w:rPr>
              <w:t>C</w:t>
            </w:r>
            <w:r w:rsidRPr="000E07EE">
              <w:rPr>
                <w:rFonts w:eastAsia="Times New Roman" w:cs="Times New Roman"/>
                <w:sz w:val="20"/>
                <w:szCs w:val="20"/>
                <w:lang w:eastAsia="en-GB"/>
              </w:rPr>
              <w:t>omment</w:t>
            </w:r>
          </w:p>
        </w:tc>
      </w:tr>
      <w:tr w:rsidR="006D22FC" w:rsidRPr="000E07EE" w14:paraId="68AA6AC7" w14:textId="77777777" w:rsidTr="00012BCB">
        <w:trPr>
          <w:trHeight w:val="252"/>
        </w:trPr>
        <w:tc>
          <w:tcPr>
            <w:tcW w:w="750" w:type="dxa"/>
            <w:tcBorders>
              <w:top w:val="single" w:sz="4" w:space="0" w:color="auto"/>
              <w:left w:val="single" w:sz="4" w:space="0" w:color="auto"/>
              <w:bottom w:val="single" w:sz="4" w:space="0" w:color="auto"/>
              <w:right w:val="single" w:sz="4" w:space="0" w:color="auto"/>
            </w:tcBorders>
          </w:tcPr>
          <w:p w14:paraId="4DE1F6B5" w14:textId="77777777" w:rsidR="006D22FC" w:rsidRPr="000E07EE" w:rsidRDefault="006D22FC" w:rsidP="00012BCB">
            <w:pPr>
              <w:tabs>
                <w:tab w:val="left" w:pos="1701"/>
              </w:tabs>
              <w:spacing w:after="0"/>
              <w:contextualSpacing w:val="0"/>
              <w:jc w:val="both"/>
              <w:rPr>
                <w:rFonts w:eastAsia="Times New Roman" w:cs="Times New Roman"/>
                <w:sz w:val="20"/>
                <w:szCs w:val="20"/>
                <w:lang w:eastAsia="en-GB"/>
              </w:rPr>
            </w:pPr>
          </w:p>
        </w:tc>
        <w:tc>
          <w:tcPr>
            <w:tcW w:w="8562" w:type="dxa"/>
            <w:tcBorders>
              <w:top w:val="nil"/>
              <w:left w:val="single" w:sz="4" w:space="0" w:color="auto"/>
              <w:bottom w:val="nil"/>
              <w:right w:val="nil"/>
            </w:tcBorders>
            <w:hideMark/>
          </w:tcPr>
          <w:p w14:paraId="70C24A54" w14:textId="77777777" w:rsidR="006D22FC" w:rsidRPr="000E07EE" w:rsidRDefault="006D22FC" w:rsidP="00012BCB">
            <w:pPr>
              <w:tabs>
                <w:tab w:val="left" w:pos="720"/>
                <w:tab w:val="left" w:pos="1701"/>
              </w:tabs>
              <w:spacing w:after="0"/>
              <w:ind w:firstLine="175"/>
              <w:contextualSpacing w:val="0"/>
              <w:jc w:val="both"/>
              <w:rPr>
                <w:rFonts w:eastAsia="Times New Roman" w:cs="Times New Roman"/>
                <w:sz w:val="20"/>
                <w:szCs w:val="20"/>
                <w:lang w:eastAsia="en-GB"/>
              </w:rPr>
            </w:pPr>
            <w:r w:rsidRPr="000E07EE">
              <w:rPr>
                <w:rFonts w:eastAsia="Times New Roman" w:cs="Times New Roman"/>
                <w:sz w:val="20"/>
                <w:szCs w:val="20"/>
                <w:lang w:eastAsia="en-GB"/>
              </w:rPr>
              <w:t>Support in principle subject to amendments to the scheme (as set out below)</w:t>
            </w:r>
          </w:p>
        </w:tc>
      </w:tr>
      <w:tr w:rsidR="006D22FC" w:rsidRPr="000E07EE" w14:paraId="384D7B5F" w14:textId="77777777" w:rsidTr="00012BCB">
        <w:trPr>
          <w:trHeight w:val="252"/>
        </w:trPr>
        <w:tc>
          <w:tcPr>
            <w:tcW w:w="750" w:type="dxa"/>
            <w:tcBorders>
              <w:top w:val="single" w:sz="4" w:space="0" w:color="auto"/>
              <w:left w:val="single" w:sz="4" w:space="0" w:color="auto"/>
              <w:bottom w:val="single" w:sz="4" w:space="0" w:color="auto"/>
              <w:right w:val="single" w:sz="4" w:space="0" w:color="auto"/>
            </w:tcBorders>
          </w:tcPr>
          <w:p w14:paraId="6CCF54A5" w14:textId="77777777" w:rsidR="006D22FC" w:rsidRPr="000E07EE" w:rsidRDefault="006D22FC" w:rsidP="00012BCB">
            <w:pPr>
              <w:tabs>
                <w:tab w:val="left" w:pos="1701"/>
              </w:tabs>
              <w:spacing w:after="0"/>
              <w:contextualSpacing w:val="0"/>
              <w:jc w:val="both"/>
              <w:rPr>
                <w:rFonts w:eastAsia="Times New Roman" w:cs="Times New Roman"/>
                <w:sz w:val="20"/>
                <w:szCs w:val="20"/>
                <w:lang w:eastAsia="en-GB"/>
              </w:rPr>
            </w:pPr>
          </w:p>
        </w:tc>
        <w:tc>
          <w:tcPr>
            <w:tcW w:w="8562" w:type="dxa"/>
            <w:tcBorders>
              <w:top w:val="nil"/>
              <w:left w:val="single" w:sz="4" w:space="0" w:color="auto"/>
              <w:bottom w:val="nil"/>
              <w:right w:val="nil"/>
            </w:tcBorders>
            <w:hideMark/>
          </w:tcPr>
          <w:p w14:paraId="68EF1D8C" w14:textId="77777777" w:rsidR="006D22FC" w:rsidRPr="000E07EE" w:rsidRDefault="006D22FC" w:rsidP="00012BCB">
            <w:pPr>
              <w:tabs>
                <w:tab w:val="left" w:pos="720"/>
                <w:tab w:val="left" w:pos="1701"/>
              </w:tabs>
              <w:spacing w:after="0"/>
              <w:ind w:firstLine="175"/>
              <w:contextualSpacing w:val="0"/>
              <w:jc w:val="both"/>
              <w:rPr>
                <w:rFonts w:eastAsia="Times New Roman" w:cs="Times New Roman"/>
                <w:sz w:val="20"/>
                <w:szCs w:val="20"/>
                <w:lang w:eastAsia="en-GB"/>
              </w:rPr>
            </w:pPr>
            <w:r w:rsidRPr="000E07EE">
              <w:rPr>
                <w:rFonts w:eastAsia="Times New Roman" w:cs="Times New Roman"/>
                <w:sz w:val="20"/>
                <w:szCs w:val="20"/>
                <w:lang w:eastAsia="en-GB"/>
              </w:rPr>
              <w:t>Support subject to conditions (as set out below)</w:t>
            </w:r>
          </w:p>
        </w:tc>
      </w:tr>
      <w:tr w:rsidR="006D22FC" w:rsidRPr="000E07EE" w14:paraId="1978F865" w14:textId="77777777" w:rsidTr="00012BCB">
        <w:trPr>
          <w:trHeight w:val="252"/>
        </w:trPr>
        <w:tc>
          <w:tcPr>
            <w:tcW w:w="750" w:type="dxa"/>
            <w:tcBorders>
              <w:top w:val="single" w:sz="4" w:space="0" w:color="auto"/>
              <w:left w:val="single" w:sz="4" w:space="0" w:color="auto"/>
              <w:bottom w:val="single" w:sz="4" w:space="0" w:color="auto"/>
              <w:right w:val="single" w:sz="4" w:space="0" w:color="auto"/>
            </w:tcBorders>
          </w:tcPr>
          <w:p w14:paraId="0F82BA7D" w14:textId="77777777" w:rsidR="006D22FC" w:rsidRPr="000E07EE" w:rsidRDefault="006D22FC" w:rsidP="00012BCB">
            <w:pPr>
              <w:tabs>
                <w:tab w:val="left" w:pos="1701"/>
              </w:tabs>
              <w:spacing w:after="0"/>
              <w:contextualSpacing w:val="0"/>
              <w:jc w:val="both"/>
              <w:rPr>
                <w:rFonts w:eastAsia="Times New Roman" w:cs="Times New Roman"/>
                <w:sz w:val="20"/>
                <w:szCs w:val="20"/>
                <w:lang w:eastAsia="en-GB"/>
              </w:rPr>
            </w:pPr>
          </w:p>
        </w:tc>
        <w:tc>
          <w:tcPr>
            <w:tcW w:w="8562" w:type="dxa"/>
            <w:tcBorders>
              <w:top w:val="nil"/>
              <w:left w:val="single" w:sz="4" w:space="0" w:color="auto"/>
              <w:bottom w:val="nil"/>
              <w:right w:val="nil"/>
            </w:tcBorders>
            <w:hideMark/>
          </w:tcPr>
          <w:p w14:paraId="2539121F" w14:textId="77777777" w:rsidR="006D22FC" w:rsidRPr="000E07EE" w:rsidRDefault="006D22FC" w:rsidP="00012BCB">
            <w:pPr>
              <w:tabs>
                <w:tab w:val="left" w:pos="720"/>
                <w:tab w:val="left" w:pos="1701"/>
              </w:tabs>
              <w:spacing w:after="0"/>
              <w:ind w:firstLine="175"/>
              <w:contextualSpacing w:val="0"/>
              <w:jc w:val="both"/>
              <w:rPr>
                <w:rFonts w:eastAsia="Times New Roman" w:cs="Times New Roman"/>
                <w:sz w:val="20"/>
                <w:szCs w:val="20"/>
                <w:lang w:eastAsia="en-GB"/>
              </w:rPr>
            </w:pPr>
            <w:r w:rsidRPr="000E07EE">
              <w:rPr>
                <w:rFonts w:eastAsia="Times New Roman" w:cs="Times New Roman"/>
                <w:sz w:val="20"/>
                <w:szCs w:val="20"/>
                <w:lang w:eastAsia="en-GB"/>
              </w:rPr>
              <w:t>Object (for reasons set out below)</w:t>
            </w:r>
          </w:p>
        </w:tc>
      </w:tr>
      <w:tr w:rsidR="006D22FC" w:rsidRPr="000E07EE" w14:paraId="3D9ADBE4" w14:textId="77777777" w:rsidTr="00012BCB">
        <w:trPr>
          <w:trHeight w:val="252"/>
        </w:trPr>
        <w:tc>
          <w:tcPr>
            <w:tcW w:w="750" w:type="dxa"/>
            <w:tcBorders>
              <w:top w:val="single" w:sz="4" w:space="0" w:color="auto"/>
              <w:left w:val="single" w:sz="4" w:space="0" w:color="auto"/>
              <w:bottom w:val="single" w:sz="4" w:space="0" w:color="auto"/>
              <w:right w:val="single" w:sz="4" w:space="0" w:color="auto"/>
            </w:tcBorders>
          </w:tcPr>
          <w:p w14:paraId="50DDF8F5" w14:textId="77777777" w:rsidR="006D22FC" w:rsidRPr="000E07EE" w:rsidRDefault="006D22FC" w:rsidP="00012BCB">
            <w:pPr>
              <w:tabs>
                <w:tab w:val="left" w:pos="1701"/>
              </w:tabs>
              <w:spacing w:after="0"/>
              <w:contextualSpacing w:val="0"/>
              <w:jc w:val="both"/>
              <w:rPr>
                <w:rFonts w:eastAsia="Times New Roman" w:cs="Times New Roman"/>
                <w:sz w:val="20"/>
                <w:szCs w:val="20"/>
                <w:lang w:eastAsia="en-GB"/>
              </w:rPr>
            </w:pPr>
          </w:p>
        </w:tc>
        <w:tc>
          <w:tcPr>
            <w:tcW w:w="8562" w:type="dxa"/>
            <w:tcBorders>
              <w:top w:val="nil"/>
              <w:left w:val="single" w:sz="4" w:space="0" w:color="auto"/>
              <w:bottom w:val="nil"/>
              <w:right w:val="nil"/>
            </w:tcBorders>
            <w:hideMark/>
          </w:tcPr>
          <w:p w14:paraId="6EA4A6AB" w14:textId="77777777" w:rsidR="006D22FC" w:rsidRPr="000E07EE" w:rsidRDefault="006D22FC" w:rsidP="00012BCB">
            <w:pPr>
              <w:tabs>
                <w:tab w:val="left" w:pos="720"/>
                <w:tab w:val="left" w:pos="1701"/>
              </w:tabs>
              <w:spacing w:after="0"/>
              <w:ind w:firstLine="175"/>
              <w:contextualSpacing w:val="0"/>
              <w:jc w:val="both"/>
              <w:rPr>
                <w:rFonts w:eastAsia="Times New Roman" w:cs="Times New Roman"/>
                <w:sz w:val="20"/>
                <w:szCs w:val="20"/>
                <w:lang w:eastAsia="en-GB"/>
              </w:rPr>
            </w:pPr>
            <w:r w:rsidRPr="000E07EE">
              <w:rPr>
                <w:rFonts w:eastAsia="Times New Roman" w:cs="Times New Roman"/>
                <w:sz w:val="20"/>
                <w:szCs w:val="20"/>
                <w:lang w:eastAsia="en-GB"/>
              </w:rPr>
              <w:t xml:space="preserve">No objections </w:t>
            </w:r>
          </w:p>
        </w:tc>
      </w:tr>
    </w:tbl>
    <w:p w14:paraId="78F297B6" w14:textId="77777777" w:rsidR="006D22FC" w:rsidRDefault="006D22FC" w:rsidP="006D22FC">
      <w:pPr>
        <w:jc w:val="both"/>
        <w:rPr>
          <w:rFonts w:cs="Arial"/>
          <w:b/>
        </w:rPr>
      </w:pPr>
    </w:p>
    <w:p w14:paraId="0DB311D0" w14:textId="77777777" w:rsidR="006D22FC" w:rsidRDefault="006D22FC" w:rsidP="006D22FC">
      <w:pPr>
        <w:rPr>
          <w:rFonts w:cs="Arial"/>
        </w:rPr>
      </w:pPr>
    </w:p>
    <w:p w14:paraId="29BF133C" w14:textId="77777777" w:rsidR="006D22FC" w:rsidRDefault="006D22FC" w:rsidP="006D22FC">
      <w:pPr>
        <w:jc w:val="both"/>
        <w:rPr>
          <w:rFonts w:cs="Arial"/>
        </w:rPr>
      </w:pPr>
      <w:r>
        <w:rPr>
          <w:rFonts w:cs="Arial"/>
          <w:b/>
        </w:rPr>
        <w:t>Scope of comments</w:t>
      </w:r>
      <w:r>
        <w:rPr>
          <w:rFonts w:cs="Arial"/>
        </w:rPr>
        <w:t xml:space="preserve">: the following comments relate to the built historic environment.  </w:t>
      </w:r>
    </w:p>
    <w:p w14:paraId="2251A0E4" w14:textId="77777777" w:rsidR="006D22FC" w:rsidRDefault="006D22FC" w:rsidP="006D22FC">
      <w:pPr>
        <w:jc w:val="both"/>
        <w:rPr>
          <w:rFonts w:cs="Arial"/>
        </w:rPr>
      </w:pPr>
      <w:r>
        <w:rPr>
          <w:rFonts w:cs="Arial"/>
        </w:rPr>
        <w:t xml:space="preserve"> </w:t>
      </w:r>
    </w:p>
    <w:p w14:paraId="3096183B" w14:textId="77777777" w:rsidR="006D22FC" w:rsidRDefault="006D22FC" w:rsidP="006D22FC">
      <w:pPr>
        <w:tabs>
          <w:tab w:val="left" w:pos="1701"/>
        </w:tabs>
        <w:jc w:val="both"/>
        <w:rPr>
          <w:rFonts w:eastAsia="Arial" w:cs="Arial"/>
        </w:rPr>
      </w:pPr>
      <w:r>
        <w:rPr>
          <w:rFonts w:eastAsia="Arial" w:cs="Arial"/>
          <w:b/>
        </w:rPr>
        <w:t>Site Description</w:t>
      </w:r>
      <w:r>
        <w:rPr>
          <w:rFonts w:eastAsia="Arial" w:cs="Arial"/>
        </w:rPr>
        <w:t xml:space="preserve">: </w:t>
      </w:r>
    </w:p>
    <w:p w14:paraId="092C5B44" w14:textId="77777777" w:rsidR="006D22FC" w:rsidRDefault="006D22FC" w:rsidP="006D22FC">
      <w:pPr>
        <w:tabs>
          <w:tab w:val="left" w:pos="1701"/>
        </w:tabs>
        <w:jc w:val="both"/>
        <w:rPr>
          <w:rFonts w:eastAsia="Arial" w:cs="Arial"/>
        </w:rPr>
      </w:pPr>
      <w:r>
        <w:rPr>
          <w:rFonts w:eastAsia="Arial" w:cs="Arial"/>
        </w:rPr>
        <w:t>No. 117 High Street is located on the east side of the northern end of the High Street. The front half of the building onto the High Street appears to be early 19</w:t>
      </w:r>
      <w:r w:rsidRPr="00A40D89">
        <w:rPr>
          <w:rFonts w:eastAsia="Arial" w:cs="Arial"/>
          <w:vertAlign w:val="superscript"/>
        </w:rPr>
        <w:t>th</w:t>
      </w:r>
      <w:r>
        <w:rPr>
          <w:rFonts w:eastAsia="Arial" w:cs="Arial"/>
        </w:rPr>
        <w:t xml:space="preserve"> century in architectural style and materials. It has red brick elevations in a Flemish bond. It has a symmetrical frontage with a central front door with canted bay windows either side, probably, late 19</w:t>
      </w:r>
      <w:r w:rsidRPr="0006429A">
        <w:rPr>
          <w:rFonts w:eastAsia="Arial" w:cs="Arial"/>
          <w:vertAlign w:val="superscript"/>
        </w:rPr>
        <w:t>th</w:t>
      </w:r>
      <w:r>
        <w:rPr>
          <w:rFonts w:eastAsia="Arial" w:cs="Arial"/>
        </w:rPr>
        <w:t xml:space="preserve"> century addition with horned sliding sash windows with margin glazing bars. </w:t>
      </w:r>
    </w:p>
    <w:p w14:paraId="05B5EC4A" w14:textId="77777777" w:rsidR="006D22FC" w:rsidRDefault="006D22FC" w:rsidP="006D22FC">
      <w:pPr>
        <w:tabs>
          <w:tab w:val="left" w:pos="1701"/>
        </w:tabs>
        <w:jc w:val="both"/>
        <w:rPr>
          <w:rFonts w:eastAsia="Arial" w:cs="Arial"/>
        </w:rPr>
      </w:pPr>
    </w:p>
    <w:p w14:paraId="2F368948" w14:textId="77777777" w:rsidR="006D22FC" w:rsidRDefault="006D22FC" w:rsidP="006D22FC">
      <w:pPr>
        <w:tabs>
          <w:tab w:val="left" w:pos="1701"/>
        </w:tabs>
        <w:jc w:val="both"/>
        <w:rPr>
          <w:rFonts w:eastAsia="Arial" w:cs="Arial"/>
        </w:rPr>
      </w:pPr>
      <w:r>
        <w:rPr>
          <w:rFonts w:eastAsia="Arial" w:cs="Arial"/>
        </w:rPr>
        <w:t>The first floor has 3 bays of hornless sliding sash windows with 6 over 6 patterns. The building includes painted quoins and stone lintels to door and upper windows and a brick parapet with stone coping with slate roof behind and brick ridge stacks.</w:t>
      </w:r>
    </w:p>
    <w:p w14:paraId="5A3D640C" w14:textId="77777777" w:rsidR="006D22FC" w:rsidRDefault="006D22FC" w:rsidP="006D22FC">
      <w:pPr>
        <w:tabs>
          <w:tab w:val="left" w:pos="1701"/>
        </w:tabs>
        <w:jc w:val="both"/>
        <w:rPr>
          <w:rFonts w:eastAsia="Arial" w:cs="Arial"/>
        </w:rPr>
      </w:pPr>
    </w:p>
    <w:p w14:paraId="003418D9" w14:textId="77777777" w:rsidR="006D22FC" w:rsidRDefault="006D22FC" w:rsidP="006D22FC">
      <w:pPr>
        <w:tabs>
          <w:tab w:val="left" w:pos="1701"/>
        </w:tabs>
        <w:jc w:val="both"/>
        <w:rPr>
          <w:rFonts w:eastAsia="Arial" w:cs="Arial"/>
        </w:rPr>
      </w:pPr>
      <w:r>
        <w:rPr>
          <w:rFonts w:eastAsia="Arial" w:cs="Arial"/>
        </w:rPr>
        <w:t xml:space="preserve">The property is right hand property in a short terrace originally of residential town houses including No.’s 115 and 116 both are two bay frontage properties in matching architectural style and materials. </w:t>
      </w:r>
    </w:p>
    <w:p w14:paraId="69A9F34D" w14:textId="77777777" w:rsidR="006D22FC" w:rsidRDefault="006D22FC" w:rsidP="006D22FC">
      <w:pPr>
        <w:tabs>
          <w:tab w:val="left" w:pos="1701"/>
        </w:tabs>
        <w:jc w:val="both"/>
        <w:rPr>
          <w:rFonts w:eastAsia="Arial" w:cs="Arial"/>
        </w:rPr>
      </w:pPr>
    </w:p>
    <w:p w14:paraId="37E7D333" w14:textId="77777777" w:rsidR="006D22FC" w:rsidRDefault="006D22FC" w:rsidP="006D22FC">
      <w:pPr>
        <w:tabs>
          <w:tab w:val="left" w:pos="1701"/>
        </w:tabs>
        <w:jc w:val="both"/>
        <w:rPr>
          <w:rFonts w:eastAsia="Arial" w:cs="Arial"/>
        </w:rPr>
      </w:pPr>
      <w:r>
        <w:rPr>
          <w:rFonts w:eastAsia="Arial" w:cs="Arial"/>
        </w:rPr>
        <w:t xml:space="preserve">No.117 has been extended to the rear in the 1980’s in a with an attached rear range in brick with gable end and slate roof with two staggered blocks. The walled rear courtyard is hardstanding used for parking accessed from the </w:t>
      </w:r>
      <w:proofErr w:type="gramStart"/>
      <w:r>
        <w:rPr>
          <w:rFonts w:eastAsia="Arial" w:cs="Arial"/>
        </w:rPr>
        <w:t>pubic</w:t>
      </w:r>
      <w:proofErr w:type="gramEnd"/>
      <w:r>
        <w:rPr>
          <w:rFonts w:eastAsia="Arial" w:cs="Arial"/>
        </w:rPr>
        <w:t xml:space="preserve"> cart park behind the property.</w:t>
      </w:r>
    </w:p>
    <w:p w14:paraId="539E27EA" w14:textId="77777777" w:rsidR="006D22FC" w:rsidRDefault="006D22FC" w:rsidP="006D22FC">
      <w:pPr>
        <w:tabs>
          <w:tab w:val="left" w:pos="1701"/>
        </w:tabs>
        <w:jc w:val="both"/>
        <w:rPr>
          <w:rFonts w:eastAsia="Arial" w:cs="Arial"/>
        </w:rPr>
      </w:pPr>
    </w:p>
    <w:p w14:paraId="756E146C" w14:textId="77777777" w:rsidR="006D22FC" w:rsidRDefault="006D22FC" w:rsidP="006D22FC">
      <w:pPr>
        <w:tabs>
          <w:tab w:val="left" w:pos="1701"/>
        </w:tabs>
        <w:jc w:val="both"/>
        <w:rPr>
          <w:rFonts w:eastAsia="Arial" w:cs="Arial"/>
        </w:rPr>
      </w:pPr>
      <w:r>
        <w:rPr>
          <w:rFonts w:eastAsia="Arial" w:cs="Arial"/>
        </w:rPr>
        <w:t>The attached neighbour No. 118 is a mid-18</w:t>
      </w:r>
      <w:r w:rsidRPr="00D3357C">
        <w:rPr>
          <w:rFonts w:eastAsia="Arial" w:cs="Arial"/>
          <w:vertAlign w:val="superscript"/>
        </w:rPr>
        <w:t>th</w:t>
      </w:r>
      <w:r>
        <w:rPr>
          <w:rFonts w:eastAsia="Arial" w:cs="Arial"/>
        </w:rPr>
        <w:t xml:space="preserve"> century listed grade II house.  </w:t>
      </w:r>
    </w:p>
    <w:p w14:paraId="1B1259F7" w14:textId="77777777" w:rsidR="006D22FC" w:rsidRDefault="006D22FC" w:rsidP="006D22FC">
      <w:pPr>
        <w:tabs>
          <w:tab w:val="left" w:pos="1701"/>
        </w:tabs>
        <w:jc w:val="both"/>
        <w:rPr>
          <w:rFonts w:eastAsia="Arial" w:cs="Arial"/>
        </w:rPr>
      </w:pPr>
    </w:p>
    <w:p w14:paraId="2A120D68" w14:textId="77777777" w:rsidR="006D22FC" w:rsidRDefault="006D22FC" w:rsidP="006D22FC">
      <w:pPr>
        <w:tabs>
          <w:tab w:val="left" w:pos="1701"/>
        </w:tabs>
        <w:jc w:val="both"/>
        <w:rPr>
          <w:rFonts w:eastAsia="Arial" w:cs="Arial"/>
        </w:rPr>
      </w:pPr>
      <w:r>
        <w:rPr>
          <w:rFonts w:eastAsia="Arial" w:cs="Arial"/>
        </w:rPr>
        <w:t xml:space="preserve">The property is located at the north end of the High Street Royal Wootton Bassett and within the town Conservation Area. </w:t>
      </w:r>
    </w:p>
    <w:p w14:paraId="11991CDC" w14:textId="77777777" w:rsidR="006D22FC" w:rsidRDefault="006D22FC" w:rsidP="006D22FC">
      <w:pPr>
        <w:tabs>
          <w:tab w:val="left" w:pos="3820"/>
        </w:tabs>
        <w:jc w:val="both"/>
        <w:rPr>
          <w:rFonts w:cs="Arial"/>
          <w:b/>
        </w:rPr>
      </w:pPr>
    </w:p>
    <w:p w14:paraId="39F4E1BD" w14:textId="77777777" w:rsidR="006D22FC" w:rsidRDefault="006D22FC" w:rsidP="006D22FC">
      <w:pPr>
        <w:tabs>
          <w:tab w:val="left" w:pos="3820"/>
        </w:tabs>
        <w:jc w:val="both"/>
        <w:rPr>
          <w:rFonts w:cs="Arial"/>
        </w:rPr>
      </w:pPr>
      <w:r>
        <w:rPr>
          <w:rFonts w:cs="Arial"/>
          <w:b/>
        </w:rPr>
        <w:t>Heritage Assets</w:t>
      </w:r>
      <w:r>
        <w:rPr>
          <w:rFonts w:cs="Arial"/>
        </w:rPr>
        <w:t xml:space="preserve">: </w:t>
      </w:r>
    </w:p>
    <w:p w14:paraId="0284E3E2" w14:textId="77777777" w:rsidR="006D22FC" w:rsidRDefault="006D22FC" w:rsidP="006D22FC">
      <w:pPr>
        <w:tabs>
          <w:tab w:val="left" w:pos="1701"/>
        </w:tabs>
        <w:jc w:val="both"/>
        <w:rPr>
          <w:rFonts w:eastAsia="Arial" w:cs="Arial"/>
          <w:b/>
        </w:rPr>
      </w:pPr>
      <w:r>
        <w:rPr>
          <w:rFonts w:eastAsia="Arial" w:cs="Arial"/>
          <w:b/>
        </w:rPr>
        <w:t xml:space="preserve">No. 118 High Street RWB grade II </w:t>
      </w:r>
    </w:p>
    <w:p w14:paraId="3F270EDF" w14:textId="77777777" w:rsidR="006D22FC" w:rsidRDefault="006D22FC" w:rsidP="006D22FC">
      <w:pPr>
        <w:tabs>
          <w:tab w:val="left" w:pos="1701"/>
        </w:tabs>
        <w:jc w:val="both"/>
        <w:rPr>
          <w:rFonts w:eastAsia="Arial" w:cs="Arial"/>
          <w:b/>
        </w:rPr>
      </w:pPr>
      <w:r>
        <w:rPr>
          <w:rFonts w:eastAsia="Arial" w:cs="Arial"/>
          <w:b/>
        </w:rPr>
        <w:t xml:space="preserve">Royal Wootton Bassett Conservation Area </w:t>
      </w:r>
    </w:p>
    <w:p w14:paraId="58725C93" w14:textId="77777777" w:rsidR="006D22FC" w:rsidRPr="001833E3" w:rsidRDefault="006D22FC" w:rsidP="006D22FC">
      <w:pPr>
        <w:jc w:val="both"/>
        <w:rPr>
          <w:rFonts w:cs="Arial"/>
        </w:rPr>
      </w:pPr>
    </w:p>
    <w:p w14:paraId="365662E6" w14:textId="77777777" w:rsidR="006D22FC" w:rsidRDefault="006D22FC" w:rsidP="006D22FC">
      <w:pPr>
        <w:jc w:val="both"/>
        <w:rPr>
          <w:rFonts w:cs="Arial"/>
        </w:rPr>
      </w:pPr>
      <w:r>
        <w:rPr>
          <w:rFonts w:cs="Arial"/>
          <w:b/>
          <w:bCs/>
        </w:rPr>
        <w:t>Relevant planning History</w:t>
      </w:r>
      <w:r>
        <w:rPr>
          <w:rFonts w:cs="Arial"/>
        </w:rPr>
        <w:t xml:space="preserve">: </w:t>
      </w:r>
    </w:p>
    <w:p w14:paraId="58ED567B" w14:textId="77777777" w:rsidR="006D22FC" w:rsidRDefault="006D22FC" w:rsidP="006D22FC">
      <w:pPr>
        <w:jc w:val="both"/>
        <w:rPr>
          <w:rFonts w:cs="Arial"/>
        </w:rPr>
      </w:pPr>
    </w:p>
    <w:p w14:paraId="4EBF9774" w14:textId="1EB776B4" w:rsidR="006D22FC" w:rsidRDefault="006D22FC" w:rsidP="006D22FC">
      <w:pPr>
        <w:jc w:val="both"/>
        <w:rPr>
          <w:rFonts w:cs="Arial"/>
        </w:rPr>
      </w:pPr>
      <w:r>
        <w:rPr>
          <w:rFonts w:cs="Arial"/>
        </w:rPr>
        <w:t xml:space="preserve">2025/04639 </w:t>
      </w:r>
      <w:r w:rsidRPr="00A40D89">
        <w:rPr>
          <w:rFonts w:cs="Arial"/>
          <w:color w:val="181818"/>
          <w:shd w:val="clear" w:color="auto" w:fill="FFFFFF"/>
        </w:rPr>
        <w:t>Change of use from Commercial, Business and Service (Use Class E) to Dwellinghouses (Use Class C3) - converting the building from commercial office use (Use Class E) to 4</w:t>
      </w:r>
      <w:r>
        <w:rPr>
          <w:rFonts w:cs="Arial"/>
          <w:color w:val="181818"/>
          <w:shd w:val="clear" w:color="auto" w:fill="FFFFFF"/>
        </w:rPr>
        <w:t>.</w:t>
      </w:r>
      <w:r w:rsidRPr="00A40D89">
        <w:rPr>
          <w:rFonts w:cs="Arial"/>
          <w:color w:val="181818"/>
          <w:shd w:val="clear" w:color="auto" w:fill="FFFFFF"/>
        </w:rPr>
        <w:t>No residential apartments under Schedule 2 Part 3, Class MA of the Town and Country Planning (General Permitted Development) (England) Order (as amended) 2015.</w:t>
      </w:r>
    </w:p>
    <w:p w14:paraId="1B4970C6" w14:textId="77777777" w:rsidR="006D22FC" w:rsidRDefault="006D22FC" w:rsidP="006D22FC">
      <w:pPr>
        <w:jc w:val="both"/>
        <w:rPr>
          <w:rFonts w:cs="Arial"/>
        </w:rPr>
      </w:pPr>
    </w:p>
    <w:p w14:paraId="03DB18A9" w14:textId="76BF1304" w:rsidR="006D22FC" w:rsidRDefault="006D22FC" w:rsidP="006D22FC">
      <w:pPr>
        <w:jc w:val="both"/>
        <w:rPr>
          <w:rFonts w:cs="Arial"/>
        </w:rPr>
      </w:pPr>
      <w:r>
        <w:rPr>
          <w:rFonts w:cs="Arial"/>
        </w:rPr>
        <w:t xml:space="preserve">2025/08061 </w:t>
      </w:r>
      <w:r w:rsidRPr="006D22FC">
        <w:rPr>
          <w:rFonts w:cs="Arial"/>
          <w:color w:val="181818"/>
          <w:shd w:val="clear" w:color="auto" w:fill="FFFFFF"/>
        </w:rPr>
        <w:t>External Alterations (amendment to PL/2025/04639)</w:t>
      </w:r>
    </w:p>
    <w:p w14:paraId="7991C7D4" w14:textId="77777777" w:rsidR="006D22FC" w:rsidRDefault="006D22FC" w:rsidP="006D22FC">
      <w:pPr>
        <w:jc w:val="both"/>
        <w:rPr>
          <w:rFonts w:cs="Arial"/>
        </w:rPr>
      </w:pPr>
    </w:p>
    <w:p w14:paraId="2B1CCFD2" w14:textId="6B781A31" w:rsidR="006D22FC" w:rsidRDefault="006D22FC" w:rsidP="006D22FC">
      <w:pPr>
        <w:jc w:val="both"/>
        <w:rPr>
          <w:rFonts w:cs="Arial"/>
        </w:rPr>
      </w:pPr>
      <w:r>
        <w:rPr>
          <w:rFonts w:cs="Arial"/>
        </w:rPr>
        <w:t xml:space="preserve">N/80/01375/COU </w:t>
      </w:r>
      <w:proofErr w:type="spellStart"/>
      <w:r>
        <w:rPr>
          <w:rFonts w:cs="Arial"/>
        </w:rPr>
        <w:t>CofU</w:t>
      </w:r>
      <w:proofErr w:type="spellEnd"/>
      <w:r>
        <w:rPr>
          <w:rFonts w:cs="Arial"/>
        </w:rPr>
        <w:t xml:space="preserve"> from dwelling to Solicitors office. </w:t>
      </w:r>
    </w:p>
    <w:p w14:paraId="0B5D82F5" w14:textId="77777777" w:rsidR="006D22FC" w:rsidRPr="004E25C1" w:rsidRDefault="006D22FC" w:rsidP="006D22FC">
      <w:pPr>
        <w:jc w:val="both"/>
        <w:rPr>
          <w:rFonts w:cs="Arial"/>
          <w:bCs/>
        </w:rPr>
      </w:pPr>
    </w:p>
    <w:p w14:paraId="1D75B86A" w14:textId="77777777" w:rsidR="006D22FC" w:rsidRPr="00D46F8E" w:rsidRDefault="006D22FC" w:rsidP="006D22FC">
      <w:pPr>
        <w:spacing w:after="0"/>
        <w:contextualSpacing w:val="0"/>
        <w:textAlignment w:val="top"/>
        <w:rPr>
          <w:rFonts w:eastAsia="Times New Roman" w:cs="Arial"/>
          <w:lang w:eastAsia="en-GB"/>
        </w:rPr>
      </w:pPr>
      <w:r>
        <w:rPr>
          <w:rFonts w:cs="Arial"/>
          <w:b/>
        </w:rPr>
        <w:lastRenderedPageBreak/>
        <w:t>The Proposal</w:t>
      </w:r>
      <w:r>
        <w:rPr>
          <w:rFonts w:cs="Arial"/>
        </w:rPr>
        <w:t>:</w:t>
      </w:r>
      <w:r>
        <w:rPr>
          <w:rFonts w:cs="Arial"/>
          <w:color w:val="181818"/>
          <w:shd w:val="clear" w:color="auto" w:fill="FFFFFF"/>
        </w:rPr>
        <w:t xml:space="preserve"> </w:t>
      </w:r>
      <w:r w:rsidRPr="00A40D89">
        <w:rPr>
          <w:rFonts w:cs="Arial"/>
          <w:color w:val="181818"/>
          <w:shd w:val="clear" w:color="auto" w:fill="FFFFFF"/>
        </w:rPr>
        <w:t>Change of use from Commercial, Business and Service (Use Class E) to Dwellinghouses (Use Class C3) - converting the building from commercial office use (Use Class E) to 4No residential apartments under Schedule 2 Part 3, Class MA of the Town and Country Planning (General Permitted Development) (England) Order (as amended) 2015.</w:t>
      </w:r>
    </w:p>
    <w:p w14:paraId="483071F4" w14:textId="77777777" w:rsidR="006D22FC" w:rsidRPr="005D6AAC" w:rsidRDefault="006D22FC" w:rsidP="006D22FC">
      <w:pPr>
        <w:rPr>
          <w:rFonts w:cs="Arial"/>
          <w:color w:val="181818"/>
          <w:shd w:val="clear" w:color="auto" w:fill="FFFFFF"/>
        </w:rPr>
      </w:pPr>
    </w:p>
    <w:p w14:paraId="0590875E" w14:textId="77777777" w:rsidR="006D22FC" w:rsidRPr="00153024" w:rsidRDefault="006D22FC" w:rsidP="006D22FC">
      <w:pPr>
        <w:pStyle w:val="Letterbody"/>
        <w:rPr>
          <w:rFonts w:cs="Arial"/>
          <w:sz w:val="22"/>
          <w:szCs w:val="22"/>
        </w:rPr>
      </w:pPr>
      <w:r>
        <w:rPr>
          <w:rFonts w:eastAsia="Calibri" w:cs="Arial"/>
          <w:b/>
          <w:sz w:val="22"/>
          <w:szCs w:val="22"/>
          <w:lang w:eastAsia="en-US"/>
        </w:rPr>
        <w:t>Policy</w:t>
      </w:r>
      <w:r w:rsidRPr="00153024">
        <w:rPr>
          <w:rFonts w:eastAsia="Calibri" w:cs="Arial"/>
          <w:sz w:val="22"/>
          <w:szCs w:val="22"/>
          <w:lang w:eastAsia="en-US"/>
        </w:rPr>
        <w:t>: From the point</w:t>
      </w:r>
      <w:r w:rsidRPr="00153024">
        <w:rPr>
          <w:rFonts w:cs="Arial"/>
          <w:sz w:val="22"/>
          <w:szCs w:val="22"/>
        </w:rPr>
        <w:t xml:space="preserve"> of view of the historic environment the main statutory tests are set out within the Planning (Listed Building and Conservation Areas) Act 1990. Sections 16 (LBC) and 66 (PP) require that </w:t>
      </w:r>
      <w:r w:rsidRPr="00153024">
        <w:rPr>
          <w:rFonts w:cs="Arial"/>
          <w:b/>
          <w:sz w:val="22"/>
          <w:szCs w:val="22"/>
        </w:rPr>
        <w:t>special regard</w:t>
      </w:r>
      <w:r w:rsidRPr="00153024">
        <w:rPr>
          <w:rFonts w:cs="Arial"/>
          <w:sz w:val="22"/>
          <w:szCs w:val="22"/>
        </w:rPr>
        <w:t xml:space="preserve"> be given to the desirability of preserving listed buildings, their settings or any features of special architectural or historic interest which they possess.  </w:t>
      </w:r>
    </w:p>
    <w:p w14:paraId="14A5DFF1" w14:textId="77777777" w:rsidR="006D22FC" w:rsidRPr="00153024" w:rsidRDefault="006D22FC" w:rsidP="006D22FC">
      <w:pPr>
        <w:pStyle w:val="Letterbody"/>
        <w:rPr>
          <w:rFonts w:cs="Arial"/>
          <w:sz w:val="22"/>
          <w:szCs w:val="22"/>
        </w:rPr>
      </w:pPr>
    </w:p>
    <w:p w14:paraId="3A8CDC45" w14:textId="77777777" w:rsidR="006D22FC" w:rsidRPr="00153024" w:rsidRDefault="006D22FC" w:rsidP="006D22FC">
      <w:pPr>
        <w:tabs>
          <w:tab w:val="left" w:pos="1701"/>
        </w:tabs>
        <w:jc w:val="both"/>
        <w:rPr>
          <w:rFonts w:cs="Arial"/>
        </w:rPr>
      </w:pPr>
      <w:r w:rsidRPr="00153024">
        <w:rPr>
          <w:rFonts w:cs="Arial"/>
        </w:rPr>
        <w:t xml:space="preserve">Section 72(1) of the Planning (Listed Building and Conservation Areas) Act 1990 also requires the Council to pay </w:t>
      </w:r>
      <w:r w:rsidRPr="00153024">
        <w:rPr>
          <w:rFonts w:cs="Arial"/>
          <w:b/>
        </w:rPr>
        <w:t>special attention</w:t>
      </w:r>
      <w:r w:rsidRPr="00153024">
        <w:rPr>
          <w:rFonts w:cs="Arial"/>
        </w:rPr>
        <w:t xml:space="preserve"> to the desirability of preserving or enhancing the character or appearance of designated Conservation Areas. </w:t>
      </w:r>
    </w:p>
    <w:p w14:paraId="48EB13FD" w14:textId="77777777" w:rsidR="006D22FC" w:rsidRPr="00153024" w:rsidRDefault="006D22FC" w:rsidP="006D22FC">
      <w:pPr>
        <w:autoSpaceDE w:val="0"/>
        <w:autoSpaceDN w:val="0"/>
        <w:adjustRightInd w:val="0"/>
        <w:spacing w:after="0"/>
        <w:contextualSpacing w:val="0"/>
        <w:jc w:val="both"/>
        <w:rPr>
          <w:rFonts w:eastAsia="Times New Roman" w:cs="Arial"/>
          <w:color w:val="000000"/>
          <w:lang w:eastAsia="en-GB"/>
        </w:rPr>
      </w:pPr>
    </w:p>
    <w:p w14:paraId="7D6AB157" w14:textId="77777777" w:rsidR="006D22FC" w:rsidRPr="00153024" w:rsidRDefault="006D22FC" w:rsidP="006D22FC">
      <w:pPr>
        <w:autoSpaceDE w:val="0"/>
        <w:autoSpaceDN w:val="0"/>
        <w:adjustRightInd w:val="0"/>
        <w:spacing w:after="0"/>
        <w:contextualSpacing w:val="0"/>
        <w:jc w:val="both"/>
        <w:rPr>
          <w:rFonts w:eastAsia="Times New Roman" w:cs="Arial"/>
          <w:color w:val="000000"/>
          <w:lang w:eastAsia="en-GB"/>
        </w:rPr>
      </w:pPr>
      <w:r w:rsidRPr="00153024">
        <w:rPr>
          <w:rFonts w:eastAsia="Times New Roman" w:cs="Arial"/>
          <w:color w:val="000000"/>
          <w:lang w:eastAsia="en-GB"/>
        </w:rPr>
        <w:t xml:space="preserve">The NPPF outlines government policy, including its policy in respect of the historic environment. Section 16 of the NPPF 'Conserving and enhancing the historic environment' sets out the Government's high-level policies concerning heritage and sustainable development. </w:t>
      </w:r>
    </w:p>
    <w:p w14:paraId="01224E0C" w14:textId="77777777" w:rsidR="006D22FC" w:rsidRPr="00153024" w:rsidRDefault="006D22FC" w:rsidP="006D22FC">
      <w:pPr>
        <w:autoSpaceDE w:val="0"/>
        <w:autoSpaceDN w:val="0"/>
        <w:adjustRightInd w:val="0"/>
        <w:spacing w:after="0"/>
        <w:contextualSpacing w:val="0"/>
        <w:jc w:val="both"/>
        <w:rPr>
          <w:rFonts w:eastAsia="Times New Roman" w:cs="Arial"/>
          <w:color w:val="000000"/>
          <w:lang w:eastAsia="en-GB"/>
        </w:rPr>
      </w:pPr>
    </w:p>
    <w:p w14:paraId="1C18C428" w14:textId="77777777" w:rsidR="006D22FC" w:rsidRDefault="006D22FC" w:rsidP="006D22FC">
      <w:pPr>
        <w:autoSpaceDE w:val="0"/>
        <w:autoSpaceDN w:val="0"/>
        <w:adjustRightInd w:val="0"/>
        <w:spacing w:after="0"/>
        <w:contextualSpacing w:val="0"/>
        <w:jc w:val="both"/>
        <w:rPr>
          <w:rFonts w:eastAsia="Times New Roman" w:cs="Arial"/>
          <w:color w:val="000000"/>
          <w:lang w:eastAsia="en-GB"/>
        </w:rPr>
      </w:pPr>
      <w:r w:rsidRPr="00153024">
        <w:rPr>
          <w:rFonts w:eastAsia="Times New Roman" w:cs="Arial"/>
          <w:color w:val="000000"/>
          <w:lang w:eastAsia="en-GB"/>
        </w:rPr>
        <w:t>Paragraphs 213</w:t>
      </w:r>
      <w:r>
        <w:rPr>
          <w:rFonts w:eastAsia="Times New Roman" w:cs="Arial"/>
          <w:color w:val="000000"/>
          <w:lang w:eastAsia="en-GB"/>
        </w:rPr>
        <w:t xml:space="preserve"> </w:t>
      </w:r>
      <w:r w:rsidRPr="00153024">
        <w:rPr>
          <w:rFonts w:eastAsia="Times New Roman" w:cs="Arial"/>
          <w:color w:val="000000"/>
          <w:lang w:eastAsia="en-GB"/>
        </w:rPr>
        <w:t xml:space="preserve">-15 of the NPPF require a balanced approach with any harm which would be caused being weighed against the potential public benefits which might be achieved. </w:t>
      </w:r>
    </w:p>
    <w:p w14:paraId="7D29E2EF" w14:textId="77777777" w:rsidR="006D22FC" w:rsidRDefault="006D22FC" w:rsidP="006D22FC">
      <w:pPr>
        <w:autoSpaceDE w:val="0"/>
        <w:autoSpaceDN w:val="0"/>
        <w:adjustRightInd w:val="0"/>
        <w:spacing w:after="0"/>
        <w:contextualSpacing w:val="0"/>
        <w:jc w:val="both"/>
        <w:rPr>
          <w:rFonts w:eastAsia="Times New Roman" w:cs="Arial"/>
          <w:color w:val="000000"/>
          <w:lang w:eastAsia="en-GB"/>
        </w:rPr>
      </w:pPr>
    </w:p>
    <w:p w14:paraId="4AF3DD34" w14:textId="77777777" w:rsidR="006D22FC" w:rsidRPr="00153024" w:rsidRDefault="006D22FC" w:rsidP="006D22FC">
      <w:pPr>
        <w:autoSpaceDE w:val="0"/>
        <w:autoSpaceDN w:val="0"/>
        <w:adjustRightInd w:val="0"/>
        <w:spacing w:after="0"/>
        <w:contextualSpacing w:val="0"/>
        <w:jc w:val="both"/>
        <w:rPr>
          <w:rFonts w:eastAsia="Times New Roman" w:cs="Arial"/>
          <w:color w:val="000000"/>
          <w:lang w:eastAsia="en-GB"/>
        </w:rPr>
      </w:pPr>
      <w:r>
        <w:t xml:space="preserve">216. The effect of an application on the significance of a non-designated heritage asset should be </w:t>
      </w:r>
      <w:proofErr w:type="gramStart"/>
      <w:r>
        <w:t>taken into account</w:t>
      </w:r>
      <w:proofErr w:type="gramEnd"/>
      <w:r>
        <w:t xml:space="preserve"> in determining the application. In weighing applications that directly or indirectly affect non-designated heritage assets, a balanced judgement will be required having regard to the scale of any harm or loss and the significance of the heritage asset</w:t>
      </w:r>
    </w:p>
    <w:p w14:paraId="0879E531" w14:textId="77777777" w:rsidR="006D22FC" w:rsidRPr="00153024" w:rsidRDefault="006D22FC" w:rsidP="006D22FC">
      <w:pPr>
        <w:autoSpaceDE w:val="0"/>
        <w:autoSpaceDN w:val="0"/>
        <w:adjustRightInd w:val="0"/>
        <w:spacing w:after="0"/>
        <w:contextualSpacing w:val="0"/>
        <w:jc w:val="both"/>
        <w:rPr>
          <w:rFonts w:eastAsia="Times New Roman" w:cs="Arial"/>
          <w:color w:val="000000"/>
          <w:lang w:eastAsia="en-GB"/>
        </w:rPr>
      </w:pPr>
    </w:p>
    <w:p w14:paraId="475A3F59" w14:textId="77777777" w:rsidR="006D22FC" w:rsidRDefault="006D22FC" w:rsidP="006D22FC">
      <w:pPr>
        <w:autoSpaceDE w:val="0"/>
        <w:autoSpaceDN w:val="0"/>
        <w:adjustRightInd w:val="0"/>
        <w:spacing w:after="0"/>
        <w:contextualSpacing w:val="0"/>
        <w:jc w:val="both"/>
        <w:rPr>
          <w:rFonts w:eastAsia="Times New Roman" w:cs="Arial"/>
          <w:color w:val="000000"/>
          <w:lang w:eastAsia="en-GB"/>
        </w:rPr>
      </w:pPr>
      <w:r w:rsidRPr="00153024">
        <w:rPr>
          <w:rFonts w:eastAsia="Times New Roman" w:cs="Arial"/>
          <w:color w:val="000000"/>
          <w:lang w:eastAsia="en-GB"/>
        </w:rPr>
        <w:t>Paragraph 210 requires local planning authorities should take account of the desirability of sustaining and enhancing the significance of heritage assets and of new development making a positive contribution to local character and distinctiveness.</w:t>
      </w:r>
    </w:p>
    <w:p w14:paraId="6C3D1C29" w14:textId="77777777" w:rsidR="006D22FC" w:rsidRPr="00153024" w:rsidRDefault="006D22FC" w:rsidP="006D22FC">
      <w:pPr>
        <w:autoSpaceDE w:val="0"/>
        <w:autoSpaceDN w:val="0"/>
        <w:adjustRightInd w:val="0"/>
        <w:jc w:val="both"/>
        <w:rPr>
          <w:rFonts w:cs="Arial"/>
        </w:rPr>
      </w:pPr>
    </w:p>
    <w:p w14:paraId="7F6E4122" w14:textId="77777777" w:rsidR="006D22FC" w:rsidRDefault="006D22FC" w:rsidP="006D22FC">
      <w:pPr>
        <w:jc w:val="both"/>
        <w:rPr>
          <w:rFonts w:cs="Arial"/>
        </w:rPr>
      </w:pPr>
      <w:r>
        <w:rPr>
          <w:rFonts w:cs="Arial"/>
        </w:rPr>
        <w:t>National Planning Practice Guidance provides guidance on interpreting the NPPF.</w:t>
      </w:r>
    </w:p>
    <w:p w14:paraId="43C5B973" w14:textId="77777777" w:rsidR="006D22FC" w:rsidRDefault="006D22FC" w:rsidP="006D22FC">
      <w:pPr>
        <w:jc w:val="both"/>
        <w:rPr>
          <w:rFonts w:cs="Arial"/>
        </w:rPr>
      </w:pPr>
    </w:p>
    <w:p w14:paraId="1368539C" w14:textId="77777777" w:rsidR="006D22FC" w:rsidRDefault="006D22FC" w:rsidP="006D22FC">
      <w:pPr>
        <w:jc w:val="both"/>
        <w:rPr>
          <w:rFonts w:cs="Arial"/>
        </w:rPr>
      </w:pPr>
      <w:r>
        <w:rPr>
          <w:rFonts w:cs="Arial"/>
        </w:rPr>
        <w:t>The Council’s Core Strategy Policy CP58 ‘Ensuring the conservation of the historic environment’ requires that “designated heritage assets and their settings will be conserved, and where appropriate enhanced, in a manner appropriate to their significance.”</w:t>
      </w:r>
    </w:p>
    <w:p w14:paraId="245C518E" w14:textId="77777777" w:rsidR="006D22FC" w:rsidRDefault="006D22FC" w:rsidP="006D22FC">
      <w:pPr>
        <w:jc w:val="both"/>
        <w:rPr>
          <w:rFonts w:cs="Arial"/>
        </w:rPr>
      </w:pPr>
    </w:p>
    <w:p w14:paraId="04B16BD0" w14:textId="77777777" w:rsidR="006D22FC" w:rsidRDefault="006D22FC" w:rsidP="006D22FC">
      <w:pPr>
        <w:autoSpaceDE w:val="0"/>
        <w:autoSpaceDN w:val="0"/>
        <w:adjustRightInd w:val="0"/>
        <w:jc w:val="both"/>
        <w:rPr>
          <w:rFonts w:cs="Arial"/>
        </w:rPr>
      </w:pPr>
      <w:bookmarkStart w:id="2" w:name="_Hlk131504226"/>
      <w:r>
        <w:rPr>
          <w:rFonts w:cs="Arial"/>
          <w:iCs/>
        </w:rPr>
        <w:t>Wiltshire Council’s Core Strategy Policy CP57 ‘</w:t>
      </w:r>
      <w:r>
        <w:rPr>
          <w:rFonts w:cs="Arial"/>
          <w:bCs/>
        </w:rPr>
        <w:t xml:space="preserve">Ensuring high quality design and place shaping’: </w:t>
      </w:r>
      <w:r>
        <w:rPr>
          <w:rFonts w:cs="Arial"/>
        </w:rPr>
        <w:t>A high standard of design is required in all new developments, including extensions, alterations, and changes of use of existing buildings. Development is expected to create a strong sense of place through drawing on the local context and being complementary to the locality.</w:t>
      </w:r>
    </w:p>
    <w:bookmarkEnd w:id="2"/>
    <w:p w14:paraId="2581B905" w14:textId="77777777" w:rsidR="006D22FC" w:rsidRDefault="006D22FC" w:rsidP="006D22FC">
      <w:pPr>
        <w:pStyle w:val="Letterbody"/>
        <w:rPr>
          <w:rFonts w:cs="Arial"/>
          <w:sz w:val="22"/>
          <w:szCs w:val="22"/>
        </w:rPr>
      </w:pPr>
      <w:r>
        <w:rPr>
          <w:rFonts w:cs="Arial"/>
          <w:sz w:val="22"/>
          <w:szCs w:val="22"/>
        </w:rPr>
        <w:t xml:space="preserve">Historic England Advice Note 2 – Making changes to Heritage Assets illustrates the application of policies set out in the NPPF in determining applications for PP and LBC. </w:t>
      </w:r>
    </w:p>
    <w:p w14:paraId="7CA3BFF7" w14:textId="77777777" w:rsidR="006D22FC" w:rsidRDefault="006D22FC" w:rsidP="006D22FC">
      <w:pPr>
        <w:pStyle w:val="Letterbody"/>
        <w:rPr>
          <w:rFonts w:cs="Arial"/>
          <w:b/>
          <w:sz w:val="22"/>
          <w:szCs w:val="22"/>
        </w:rPr>
      </w:pPr>
    </w:p>
    <w:p w14:paraId="31086E0D" w14:textId="62230276" w:rsidR="006D22FC" w:rsidRDefault="006D22FC" w:rsidP="006D22FC">
      <w:pPr>
        <w:pStyle w:val="Letterbody"/>
        <w:rPr>
          <w:rFonts w:cs="Arial"/>
          <w:bCs/>
          <w:sz w:val="22"/>
          <w:szCs w:val="22"/>
        </w:rPr>
      </w:pPr>
      <w:r>
        <w:rPr>
          <w:rFonts w:cs="Arial"/>
          <w:b/>
          <w:sz w:val="22"/>
          <w:szCs w:val="22"/>
        </w:rPr>
        <w:t>Issues</w:t>
      </w:r>
      <w:r>
        <w:rPr>
          <w:rFonts w:cs="Arial"/>
          <w:bCs/>
          <w:sz w:val="22"/>
          <w:szCs w:val="22"/>
        </w:rPr>
        <w:t xml:space="preserve">: Impact on the fabric of the heritage asset, </w:t>
      </w:r>
      <w:r>
        <w:rPr>
          <w:rFonts w:cs="Arial"/>
          <w:bCs/>
          <w:sz w:val="22"/>
          <w:szCs w:val="22"/>
        </w:rPr>
        <w:t xml:space="preserve">setting of the listed building, and </w:t>
      </w:r>
      <w:r>
        <w:rPr>
          <w:rFonts w:cs="Arial"/>
          <w:bCs/>
          <w:sz w:val="22"/>
          <w:szCs w:val="22"/>
        </w:rPr>
        <w:t xml:space="preserve">Conservation Area character and appearance, design, and materials. </w:t>
      </w:r>
    </w:p>
    <w:p w14:paraId="2B72C45D" w14:textId="77777777" w:rsidR="006D22FC" w:rsidRPr="00310502" w:rsidRDefault="006D22FC" w:rsidP="006D22FC">
      <w:pPr>
        <w:tabs>
          <w:tab w:val="left" w:pos="1701"/>
        </w:tabs>
        <w:spacing w:after="0"/>
        <w:contextualSpacing w:val="0"/>
        <w:jc w:val="both"/>
        <w:rPr>
          <w:rFonts w:eastAsia="Times New Roman" w:cs="Arial"/>
          <w:u w:val="single"/>
          <w:lang w:eastAsia="en-GB"/>
        </w:rPr>
      </w:pPr>
    </w:p>
    <w:p w14:paraId="6CE3DCE1" w14:textId="77777777" w:rsidR="006D22FC" w:rsidRPr="00310502" w:rsidRDefault="006D22FC" w:rsidP="006D22FC">
      <w:pPr>
        <w:tabs>
          <w:tab w:val="left" w:pos="1701"/>
        </w:tabs>
        <w:spacing w:after="0"/>
        <w:contextualSpacing w:val="0"/>
        <w:jc w:val="both"/>
        <w:rPr>
          <w:rFonts w:eastAsia="Times New Roman" w:cs="Arial"/>
          <w:lang w:eastAsia="en-GB"/>
        </w:rPr>
      </w:pPr>
      <w:r w:rsidRPr="00310502">
        <w:rPr>
          <w:rFonts w:eastAsia="Times New Roman" w:cs="Arial"/>
          <w:b/>
          <w:bCs/>
          <w:lang w:eastAsia="en-GB"/>
        </w:rPr>
        <w:t>Significance of assets and contribution of setting</w:t>
      </w:r>
      <w:r w:rsidRPr="00310502">
        <w:rPr>
          <w:rFonts w:eastAsia="Times New Roman" w:cs="Arial"/>
          <w:lang w:eastAsia="en-GB"/>
        </w:rPr>
        <w:t xml:space="preserve">: The NPPF defines significance as the “value of a heritage asset to this and future generations because of its heritage interest. </w:t>
      </w:r>
    </w:p>
    <w:p w14:paraId="7C9D8D4F" w14:textId="77777777" w:rsidR="006D22FC" w:rsidRPr="00310502" w:rsidRDefault="006D22FC" w:rsidP="006D22FC">
      <w:pPr>
        <w:tabs>
          <w:tab w:val="left" w:pos="1701"/>
        </w:tabs>
        <w:spacing w:after="0"/>
        <w:contextualSpacing w:val="0"/>
        <w:jc w:val="both"/>
        <w:rPr>
          <w:rFonts w:eastAsia="Times New Roman" w:cs="Arial"/>
          <w:lang w:eastAsia="en-GB"/>
        </w:rPr>
      </w:pPr>
    </w:p>
    <w:p w14:paraId="43430D5B" w14:textId="77777777" w:rsidR="006D22FC" w:rsidRPr="00310502" w:rsidRDefault="006D22FC" w:rsidP="006D22FC">
      <w:pPr>
        <w:tabs>
          <w:tab w:val="left" w:pos="1701"/>
        </w:tabs>
        <w:spacing w:after="0"/>
        <w:contextualSpacing w:val="0"/>
        <w:jc w:val="both"/>
        <w:rPr>
          <w:rFonts w:eastAsia="Times New Roman" w:cs="Arial"/>
          <w:lang w:eastAsia="en-GB"/>
        </w:rPr>
      </w:pPr>
      <w:r w:rsidRPr="00310502">
        <w:rPr>
          <w:rFonts w:eastAsia="Times New Roman" w:cs="Arial"/>
          <w:lang w:eastAsia="en-GB"/>
        </w:rPr>
        <w:t xml:space="preserve">The interest may be </w:t>
      </w:r>
      <w:r w:rsidRPr="00310502">
        <w:rPr>
          <w:rFonts w:eastAsia="Times New Roman" w:cs="Arial"/>
          <w:b/>
          <w:bCs/>
          <w:lang w:eastAsia="en-GB"/>
        </w:rPr>
        <w:t>architectural</w:t>
      </w:r>
      <w:r w:rsidRPr="00310502">
        <w:rPr>
          <w:rFonts w:eastAsia="Times New Roman" w:cs="Arial"/>
          <w:lang w:eastAsia="en-GB"/>
        </w:rPr>
        <w:t xml:space="preserve">, or </w:t>
      </w:r>
      <w:r w:rsidRPr="00310502">
        <w:rPr>
          <w:rFonts w:eastAsia="Times New Roman" w:cs="Arial"/>
          <w:b/>
          <w:bCs/>
          <w:lang w:eastAsia="en-GB"/>
        </w:rPr>
        <w:t xml:space="preserve">historic </w:t>
      </w:r>
      <w:r w:rsidRPr="00310502">
        <w:rPr>
          <w:rFonts w:eastAsia="Times New Roman" w:cs="Arial"/>
          <w:lang w:eastAsia="en-GB"/>
        </w:rPr>
        <w:t xml:space="preserve">as set out in the Town and Country Planning (Listed Building and Conservation Areas) Act 1990 S 1. </w:t>
      </w:r>
    </w:p>
    <w:p w14:paraId="7E64270F" w14:textId="77777777" w:rsidR="006D22FC" w:rsidRDefault="006D22FC" w:rsidP="006D22FC">
      <w:pPr>
        <w:pStyle w:val="Letterbody"/>
        <w:rPr>
          <w:rFonts w:cs="Arial"/>
          <w:sz w:val="22"/>
          <w:szCs w:val="22"/>
          <w:u w:val="single"/>
        </w:rPr>
      </w:pPr>
    </w:p>
    <w:p w14:paraId="633B63D5" w14:textId="77777777" w:rsidR="006D22FC" w:rsidRDefault="006D22FC" w:rsidP="006D22FC">
      <w:pPr>
        <w:pStyle w:val="Letterbody"/>
        <w:rPr>
          <w:rFonts w:cs="Arial"/>
          <w:sz w:val="22"/>
          <w:szCs w:val="22"/>
        </w:rPr>
      </w:pPr>
      <w:r>
        <w:rPr>
          <w:rFonts w:cs="Arial"/>
          <w:sz w:val="22"/>
          <w:szCs w:val="22"/>
        </w:rPr>
        <w:t xml:space="preserve">The NPPF defines significance as the “value of a heritage asset to this and future generations because of its heritage interest. The interest may be, </w:t>
      </w:r>
      <w:r>
        <w:rPr>
          <w:rFonts w:cs="Arial"/>
          <w:b/>
          <w:bCs/>
          <w:sz w:val="22"/>
          <w:szCs w:val="22"/>
        </w:rPr>
        <w:t>architectural</w:t>
      </w:r>
      <w:r>
        <w:rPr>
          <w:rFonts w:cs="Arial"/>
          <w:sz w:val="22"/>
          <w:szCs w:val="22"/>
        </w:rPr>
        <w:t xml:space="preserve">, or </w:t>
      </w:r>
      <w:r>
        <w:rPr>
          <w:rFonts w:cs="Arial"/>
          <w:b/>
          <w:bCs/>
          <w:sz w:val="22"/>
          <w:szCs w:val="22"/>
        </w:rPr>
        <w:t>historic</w:t>
      </w:r>
      <w:r>
        <w:rPr>
          <w:rFonts w:cs="Arial"/>
          <w:sz w:val="22"/>
          <w:szCs w:val="22"/>
        </w:rPr>
        <w:t xml:space="preserve">. Significance derives not only from a heritage asset’s physical presence, but also from its setting.” Historic England assesses significance in a similar manner, referring to evidential, historic, aesthetic, and communal values of a place. </w:t>
      </w:r>
    </w:p>
    <w:p w14:paraId="7871C61B" w14:textId="77777777" w:rsidR="006D22FC" w:rsidRDefault="006D22FC" w:rsidP="006D22FC">
      <w:pPr>
        <w:pStyle w:val="Letterbody"/>
        <w:rPr>
          <w:rFonts w:cs="Arial"/>
          <w:sz w:val="22"/>
          <w:szCs w:val="22"/>
        </w:rPr>
      </w:pPr>
    </w:p>
    <w:p w14:paraId="3FC9F0F2" w14:textId="742242DA" w:rsidR="006D22FC" w:rsidRDefault="006D22FC" w:rsidP="006D22FC">
      <w:pPr>
        <w:pStyle w:val="Letterbody"/>
        <w:rPr>
          <w:rFonts w:cs="Arial"/>
          <w:sz w:val="22"/>
          <w:szCs w:val="22"/>
        </w:rPr>
      </w:pPr>
      <w:r w:rsidRPr="00B128F9">
        <w:rPr>
          <w:rFonts w:cs="Arial"/>
          <w:sz w:val="22"/>
          <w:szCs w:val="22"/>
        </w:rPr>
        <w:t xml:space="preserve">In this case </w:t>
      </w:r>
      <w:r>
        <w:rPr>
          <w:rFonts w:cs="Arial"/>
          <w:sz w:val="22"/>
          <w:szCs w:val="22"/>
        </w:rPr>
        <w:t xml:space="preserve">No. 117 High Street has some significance for its front block from its </w:t>
      </w:r>
      <w:r w:rsidRPr="00B128F9">
        <w:rPr>
          <w:rFonts w:cs="Arial"/>
          <w:sz w:val="22"/>
          <w:szCs w:val="22"/>
        </w:rPr>
        <w:t>architectur</w:t>
      </w:r>
      <w:r>
        <w:rPr>
          <w:rFonts w:cs="Arial"/>
          <w:sz w:val="22"/>
          <w:szCs w:val="22"/>
        </w:rPr>
        <w:t>al style,</w:t>
      </w:r>
      <w:r w:rsidRPr="00B128F9">
        <w:rPr>
          <w:rFonts w:cs="Arial"/>
          <w:sz w:val="22"/>
          <w:szCs w:val="22"/>
        </w:rPr>
        <w:t xml:space="preserve"> form, layout and architectural expression/detailing and use of </w:t>
      </w:r>
      <w:r>
        <w:rPr>
          <w:rFonts w:cs="Arial"/>
          <w:sz w:val="22"/>
          <w:szCs w:val="22"/>
        </w:rPr>
        <w:t xml:space="preserve">local </w:t>
      </w:r>
      <w:r w:rsidRPr="00B128F9">
        <w:rPr>
          <w:rFonts w:cs="Arial"/>
          <w:sz w:val="22"/>
          <w:szCs w:val="22"/>
        </w:rPr>
        <w:t>design</w:t>
      </w:r>
      <w:r>
        <w:rPr>
          <w:rFonts w:cs="Arial"/>
          <w:sz w:val="22"/>
          <w:szCs w:val="22"/>
        </w:rPr>
        <w:t xml:space="preserve"> approaches and </w:t>
      </w:r>
      <w:r w:rsidRPr="00B128F9">
        <w:rPr>
          <w:rFonts w:cs="Arial"/>
          <w:sz w:val="22"/>
          <w:szCs w:val="22"/>
        </w:rPr>
        <w:t xml:space="preserve">materials which have </w:t>
      </w:r>
      <w:r>
        <w:rPr>
          <w:rFonts w:cs="Arial"/>
          <w:sz w:val="22"/>
          <w:szCs w:val="22"/>
        </w:rPr>
        <w:t xml:space="preserve">some </w:t>
      </w:r>
      <w:r w:rsidRPr="00B128F9">
        <w:rPr>
          <w:rFonts w:cs="Arial"/>
          <w:sz w:val="22"/>
          <w:szCs w:val="22"/>
        </w:rPr>
        <w:t>significant aesthetic and architectural interest</w:t>
      </w:r>
      <w:r>
        <w:rPr>
          <w:rFonts w:cs="Arial"/>
          <w:sz w:val="22"/>
          <w:szCs w:val="22"/>
        </w:rPr>
        <w:t xml:space="preserve">. The building and terrace </w:t>
      </w:r>
      <w:proofErr w:type="gramStart"/>
      <w:r>
        <w:rPr>
          <w:rFonts w:cs="Arial"/>
          <w:sz w:val="22"/>
          <w:szCs w:val="22"/>
        </w:rPr>
        <w:t>makes</w:t>
      </w:r>
      <w:proofErr w:type="gramEnd"/>
      <w:r>
        <w:rPr>
          <w:rFonts w:cs="Arial"/>
          <w:sz w:val="22"/>
          <w:szCs w:val="22"/>
        </w:rPr>
        <w:t xml:space="preserve"> a positive contribution to the character and appearance of the Royal Wootton Bassett Conservation Area and is considered a non-designated heritage asset.</w:t>
      </w:r>
      <w:r>
        <w:rPr>
          <w:rFonts w:cs="Arial"/>
          <w:sz w:val="22"/>
          <w:szCs w:val="22"/>
        </w:rPr>
        <w:t xml:space="preserve"> </w:t>
      </w:r>
    </w:p>
    <w:p w14:paraId="7A9261C4" w14:textId="77777777" w:rsidR="006D22FC" w:rsidRDefault="006D22FC" w:rsidP="006D22FC">
      <w:pPr>
        <w:pStyle w:val="Letterbody"/>
        <w:rPr>
          <w:rFonts w:cs="Arial"/>
          <w:sz w:val="22"/>
          <w:szCs w:val="22"/>
        </w:rPr>
      </w:pPr>
    </w:p>
    <w:p w14:paraId="6F85465A" w14:textId="7D236052" w:rsidR="006D22FC" w:rsidRDefault="006D22FC" w:rsidP="006D22FC">
      <w:pPr>
        <w:pStyle w:val="Letterbody"/>
        <w:rPr>
          <w:rFonts w:cs="Arial"/>
          <w:sz w:val="22"/>
          <w:szCs w:val="22"/>
        </w:rPr>
      </w:pPr>
      <w:r>
        <w:rPr>
          <w:rFonts w:cs="Arial"/>
          <w:sz w:val="22"/>
          <w:szCs w:val="22"/>
        </w:rPr>
        <w:t xml:space="preserve">No. 118 High Street is a </w:t>
      </w:r>
      <w:proofErr w:type="spellStart"/>
      <w:r>
        <w:rPr>
          <w:rFonts w:cs="Arial"/>
          <w:sz w:val="22"/>
          <w:szCs w:val="22"/>
        </w:rPr>
        <w:t>mid 18</w:t>
      </w:r>
      <w:r w:rsidRPr="006D22FC">
        <w:rPr>
          <w:rFonts w:cs="Arial"/>
          <w:sz w:val="22"/>
          <w:szCs w:val="22"/>
          <w:vertAlign w:val="superscript"/>
        </w:rPr>
        <w:t>th</w:t>
      </w:r>
      <w:proofErr w:type="spellEnd"/>
      <w:r>
        <w:rPr>
          <w:rFonts w:cs="Arial"/>
          <w:sz w:val="22"/>
          <w:szCs w:val="22"/>
        </w:rPr>
        <w:t xml:space="preserve"> century two storey house brick in Flemish bond with burnt headers (previously rendered) on plinth</w:t>
      </w:r>
      <w:r w:rsidR="00ED69A5">
        <w:rPr>
          <w:rFonts w:cs="Arial"/>
          <w:sz w:val="22"/>
          <w:szCs w:val="22"/>
        </w:rPr>
        <w:t xml:space="preserve"> and brick dentils to eaves</w:t>
      </w:r>
      <w:r>
        <w:rPr>
          <w:rFonts w:cs="Arial"/>
          <w:sz w:val="22"/>
          <w:szCs w:val="22"/>
        </w:rPr>
        <w:t xml:space="preserve">. It has a </w:t>
      </w:r>
      <w:proofErr w:type="gramStart"/>
      <w:r>
        <w:rPr>
          <w:rFonts w:cs="Arial"/>
          <w:sz w:val="22"/>
          <w:szCs w:val="22"/>
        </w:rPr>
        <w:t>three bay</w:t>
      </w:r>
      <w:proofErr w:type="gramEnd"/>
      <w:r>
        <w:rPr>
          <w:rFonts w:cs="Arial"/>
          <w:sz w:val="22"/>
          <w:szCs w:val="22"/>
        </w:rPr>
        <w:t xml:space="preserve"> frontage onto High Street with door</w:t>
      </w:r>
      <w:r w:rsidR="00ED69A5">
        <w:rPr>
          <w:rFonts w:cs="Arial"/>
          <w:sz w:val="22"/>
          <w:szCs w:val="22"/>
        </w:rPr>
        <w:t xml:space="preserve"> </w:t>
      </w:r>
      <w:r>
        <w:rPr>
          <w:rFonts w:cs="Arial"/>
          <w:sz w:val="22"/>
          <w:szCs w:val="22"/>
        </w:rPr>
        <w:t xml:space="preserve">to left hand bay behind axial stack. The </w:t>
      </w:r>
      <w:r w:rsidR="00ED69A5">
        <w:rPr>
          <w:rFonts w:cs="Arial"/>
          <w:sz w:val="22"/>
          <w:szCs w:val="22"/>
        </w:rPr>
        <w:t xml:space="preserve">front door is 6 panel with upper glazed panels and in timber moulded doorcase with bracketed canopy. The first and third bays have canted bays with 8 and 12 pane sashes </w:t>
      </w:r>
      <w:r>
        <w:rPr>
          <w:rFonts w:cs="Arial"/>
          <w:sz w:val="22"/>
          <w:szCs w:val="22"/>
        </w:rPr>
        <w:t xml:space="preserve">The property has a rear wing with </w:t>
      </w:r>
      <w:r w:rsidR="00ED69A5">
        <w:rPr>
          <w:rFonts w:cs="Arial"/>
          <w:sz w:val="22"/>
          <w:szCs w:val="22"/>
        </w:rPr>
        <w:t>gable</w:t>
      </w:r>
      <w:r>
        <w:rPr>
          <w:rFonts w:cs="Arial"/>
          <w:sz w:val="22"/>
          <w:szCs w:val="22"/>
        </w:rPr>
        <w:t xml:space="preserve"> stac</w:t>
      </w:r>
      <w:r w:rsidR="00ED69A5">
        <w:rPr>
          <w:rFonts w:cs="Arial"/>
          <w:sz w:val="22"/>
          <w:szCs w:val="22"/>
        </w:rPr>
        <w:t xml:space="preserve">k. The front roof slope is clad in </w:t>
      </w:r>
      <w:r>
        <w:rPr>
          <w:rFonts w:cs="Arial"/>
          <w:sz w:val="22"/>
          <w:szCs w:val="22"/>
        </w:rPr>
        <w:t>stone slate roof with concrete tile to rear</w:t>
      </w:r>
      <w:r w:rsidR="00ED69A5">
        <w:rPr>
          <w:rFonts w:cs="Arial"/>
          <w:sz w:val="22"/>
          <w:szCs w:val="22"/>
        </w:rPr>
        <w:t>.</w:t>
      </w:r>
      <w:r>
        <w:rPr>
          <w:rFonts w:cs="Arial"/>
          <w:sz w:val="22"/>
          <w:szCs w:val="22"/>
        </w:rPr>
        <w:t xml:space="preserve"> </w:t>
      </w:r>
    </w:p>
    <w:p w14:paraId="412D468F" w14:textId="77777777" w:rsidR="006D22FC" w:rsidRPr="009B5D09" w:rsidRDefault="006D22FC" w:rsidP="006D22FC">
      <w:pPr>
        <w:pStyle w:val="Letterbody"/>
        <w:rPr>
          <w:rFonts w:cs="Arial"/>
          <w:sz w:val="22"/>
          <w:szCs w:val="22"/>
        </w:rPr>
      </w:pPr>
      <w:r>
        <w:rPr>
          <w:rFonts w:cs="Arial"/>
          <w:sz w:val="22"/>
          <w:szCs w:val="22"/>
        </w:rPr>
        <w:t>.</w:t>
      </w:r>
    </w:p>
    <w:p w14:paraId="00F8C334" w14:textId="77777777" w:rsidR="006D22FC" w:rsidRDefault="006D22FC" w:rsidP="006D22FC">
      <w:pPr>
        <w:pStyle w:val="Letterbody"/>
        <w:rPr>
          <w:rFonts w:cs="Arial"/>
          <w:bCs/>
          <w:sz w:val="22"/>
          <w:szCs w:val="22"/>
        </w:rPr>
      </w:pPr>
      <w:r>
        <w:rPr>
          <w:rFonts w:cs="Arial"/>
          <w:b/>
          <w:sz w:val="22"/>
          <w:szCs w:val="22"/>
        </w:rPr>
        <w:t>Assessment</w:t>
      </w:r>
      <w:r>
        <w:rPr>
          <w:rFonts w:cs="Arial"/>
          <w:bCs/>
          <w:sz w:val="22"/>
          <w:szCs w:val="22"/>
        </w:rPr>
        <w:t>:</w:t>
      </w:r>
    </w:p>
    <w:p w14:paraId="626560E7" w14:textId="77777777" w:rsidR="006D22FC" w:rsidRDefault="006D22FC" w:rsidP="006D22FC">
      <w:pPr>
        <w:pStyle w:val="Letterbody"/>
        <w:rPr>
          <w:rFonts w:cs="Arial"/>
          <w:bCs/>
          <w:sz w:val="22"/>
          <w:szCs w:val="22"/>
        </w:rPr>
      </w:pPr>
    </w:p>
    <w:p w14:paraId="664374E7" w14:textId="028C6277" w:rsidR="006D22FC" w:rsidRDefault="006D22FC" w:rsidP="006D22FC">
      <w:pPr>
        <w:pStyle w:val="Letterbody"/>
        <w:rPr>
          <w:rFonts w:cs="Arial"/>
          <w:color w:val="181818"/>
          <w:sz w:val="22"/>
          <w:szCs w:val="22"/>
          <w:shd w:val="clear" w:color="auto" w:fill="FFFFFF"/>
        </w:rPr>
      </w:pPr>
      <w:r>
        <w:rPr>
          <w:rFonts w:cs="Arial"/>
          <w:bCs/>
          <w:sz w:val="22"/>
          <w:szCs w:val="22"/>
        </w:rPr>
        <w:t xml:space="preserve">The proposal </w:t>
      </w:r>
      <w:r w:rsidR="00ED69A5" w:rsidRPr="00ED69A5">
        <w:rPr>
          <w:rFonts w:cs="Arial"/>
          <w:bCs/>
          <w:sz w:val="22"/>
          <w:szCs w:val="22"/>
        </w:rPr>
        <w:t xml:space="preserve">is for a </w:t>
      </w:r>
      <w:r w:rsidR="00ED69A5" w:rsidRPr="00ED69A5">
        <w:rPr>
          <w:rFonts w:cs="Arial"/>
          <w:color w:val="181818"/>
          <w:sz w:val="22"/>
          <w:szCs w:val="22"/>
          <w:shd w:val="clear" w:color="auto" w:fill="FFFFFF"/>
        </w:rPr>
        <w:t>Variation of Condition 2 (Approved Plans) of PL/2025/08061</w:t>
      </w:r>
      <w:r w:rsidR="00ED69A5" w:rsidRPr="00ED69A5">
        <w:rPr>
          <w:rFonts w:cs="Arial"/>
          <w:color w:val="181818"/>
          <w:sz w:val="22"/>
          <w:szCs w:val="22"/>
          <w:shd w:val="clear" w:color="auto" w:fill="FFFFFF"/>
        </w:rPr>
        <w:t xml:space="preserve"> to include a rear first floor balcony to </w:t>
      </w:r>
      <w:r w:rsidR="00ED69A5">
        <w:rPr>
          <w:rFonts w:cs="Arial"/>
          <w:color w:val="181818"/>
          <w:sz w:val="22"/>
          <w:szCs w:val="22"/>
          <w:shd w:val="clear" w:color="auto" w:fill="FFFFFF"/>
        </w:rPr>
        <w:t xml:space="preserve">the </w:t>
      </w:r>
      <w:r w:rsidR="00ED69A5" w:rsidRPr="00ED69A5">
        <w:rPr>
          <w:rFonts w:cs="Arial"/>
          <w:color w:val="181818"/>
          <w:sz w:val="22"/>
          <w:szCs w:val="22"/>
          <w:shd w:val="clear" w:color="auto" w:fill="FFFFFF"/>
        </w:rPr>
        <w:t xml:space="preserve">replace the modern three </w:t>
      </w:r>
      <w:r w:rsidR="00ED69A5">
        <w:rPr>
          <w:rFonts w:cs="Arial"/>
          <w:color w:val="181818"/>
          <w:sz w:val="22"/>
          <w:szCs w:val="22"/>
          <w:shd w:val="clear" w:color="auto" w:fill="FFFFFF"/>
        </w:rPr>
        <w:t>l</w:t>
      </w:r>
      <w:r w:rsidR="00ED69A5" w:rsidRPr="00ED69A5">
        <w:rPr>
          <w:rFonts w:cs="Arial"/>
          <w:color w:val="181818"/>
          <w:sz w:val="22"/>
          <w:szCs w:val="22"/>
          <w:shd w:val="clear" w:color="auto" w:fill="FFFFFF"/>
        </w:rPr>
        <w:t>ight casement window</w:t>
      </w:r>
      <w:r w:rsidR="00ED69A5">
        <w:rPr>
          <w:rFonts w:cs="Arial"/>
          <w:color w:val="181818"/>
          <w:sz w:val="22"/>
          <w:szCs w:val="22"/>
          <w:shd w:val="clear" w:color="auto" w:fill="FFFFFF"/>
        </w:rPr>
        <w:t xml:space="preserve">. </w:t>
      </w:r>
      <w:r w:rsidR="00ED69A5" w:rsidRPr="00ED69A5">
        <w:rPr>
          <w:rFonts w:cs="Arial"/>
          <w:color w:val="181818"/>
          <w:sz w:val="22"/>
          <w:szCs w:val="22"/>
          <w:shd w:val="clear" w:color="auto" w:fill="FFFFFF"/>
        </w:rPr>
        <w:t xml:space="preserve"> </w:t>
      </w:r>
    </w:p>
    <w:p w14:paraId="219A44C5" w14:textId="77777777" w:rsidR="00ED69A5" w:rsidRDefault="00ED69A5" w:rsidP="006D22FC">
      <w:pPr>
        <w:pStyle w:val="Letterbody"/>
        <w:rPr>
          <w:rFonts w:cs="Arial"/>
          <w:color w:val="181818"/>
          <w:sz w:val="22"/>
          <w:szCs w:val="22"/>
          <w:shd w:val="clear" w:color="auto" w:fill="FFFFFF"/>
        </w:rPr>
      </w:pPr>
    </w:p>
    <w:p w14:paraId="1691CDD5" w14:textId="77777777" w:rsidR="00ED69A5" w:rsidRPr="000B4E11" w:rsidRDefault="00ED69A5" w:rsidP="006D22FC">
      <w:pPr>
        <w:pStyle w:val="Letterbody"/>
        <w:rPr>
          <w:rFonts w:cs="Arial"/>
          <w:bCs/>
          <w:sz w:val="22"/>
          <w:szCs w:val="22"/>
        </w:rPr>
      </w:pPr>
      <w:r w:rsidRPr="000B4E11">
        <w:rPr>
          <w:rFonts w:cs="Arial"/>
          <w:color w:val="181818"/>
          <w:sz w:val="22"/>
          <w:szCs w:val="22"/>
          <w:shd w:val="clear" w:color="auto" w:fill="FFFFFF"/>
        </w:rPr>
        <w:t xml:space="preserve">The permission </w:t>
      </w:r>
      <w:r w:rsidRPr="000B4E11">
        <w:rPr>
          <w:rFonts w:cs="Arial"/>
          <w:color w:val="181818"/>
          <w:sz w:val="22"/>
          <w:szCs w:val="22"/>
          <w:shd w:val="clear" w:color="auto" w:fill="FFFFFF"/>
        </w:rPr>
        <w:t>2025/08061</w:t>
      </w:r>
      <w:r w:rsidRPr="000B4E11">
        <w:rPr>
          <w:rFonts w:cs="Arial"/>
          <w:color w:val="181818"/>
          <w:sz w:val="22"/>
          <w:szCs w:val="22"/>
          <w:shd w:val="clear" w:color="auto" w:fill="FFFFFF"/>
        </w:rPr>
        <w:t xml:space="preserve"> followed the Prior Approval </w:t>
      </w:r>
      <w:r w:rsidRPr="000B4E11">
        <w:rPr>
          <w:rFonts w:cs="Arial"/>
          <w:sz w:val="22"/>
          <w:szCs w:val="22"/>
        </w:rPr>
        <w:t xml:space="preserve">2025/04639 </w:t>
      </w:r>
      <w:r w:rsidRPr="000B4E11">
        <w:rPr>
          <w:rFonts w:cs="Arial"/>
          <w:color w:val="181818"/>
          <w:sz w:val="22"/>
          <w:szCs w:val="22"/>
          <w:shd w:val="clear" w:color="auto" w:fill="FFFFFF"/>
        </w:rPr>
        <w:t>Change of use from Commercial</w:t>
      </w:r>
      <w:r w:rsidRPr="000B4E11">
        <w:rPr>
          <w:rFonts w:cs="Arial"/>
          <w:color w:val="181818"/>
          <w:sz w:val="22"/>
          <w:szCs w:val="22"/>
          <w:shd w:val="clear" w:color="auto" w:fill="FFFFFF"/>
        </w:rPr>
        <w:t xml:space="preserve"> to </w:t>
      </w:r>
      <w:r w:rsidR="006D22FC" w:rsidRPr="000B4E11">
        <w:rPr>
          <w:rFonts w:cs="Arial"/>
          <w:bCs/>
          <w:sz w:val="22"/>
          <w:szCs w:val="22"/>
        </w:rPr>
        <w:t xml:space="preserve">subdivision of the property </w:t>
      </w:r>
      <w:r w:rsidRPr="000B4E11">
        <w:rPr>
          <w:rFonts w:cs="Arial"/>
          <w:bCs/>
          <w:sz w:val="22"/>
          <w:szCs w:val="22"/>
        </w:rPr>
        <w:t xml:space="preserve">to </w:t>
      </w:r>
      <w:r w:rsidR="006D22FC" w:rsidRPr="000B4E11">
        <w:rPr>
          <w:rFonts w:cs="Arial"/>
          <w:bCs/>
          <w:sz w:val="22"/>
          <w:szCs w:val="22"/>
        </w:rPr>
        <w:t xml:space="preserve">4 flats.  </w:t>
      </w:r>
    </w:p>
    <w:p w14:paraId="6A8D1403" w14:textId="77777777" w:rsidR="00ED69A5" w:rsidRDefault="00ED69A5" w:rsidP="006D22FC">
      <w:pPr>
        <w:pStyle w:val="Letterbody"/>
        <w:rPr>
          <w:rFonts w:cs="Arial"/>
          <w:bCs/>
          <w:sz w:val="22"/>
          <w:szCs w:val="22"/>
        </w:rPr>
      </w:pPr>
    </w:p>
    <w:p w14:paraId="27BB6AC5" w14:textId="6EA8C04C" w:rsidR="00ED69A5" w:rsidRDefault="006D22FC" w:rsidP="006D22FC">
      <w:pPr>
        <w:pStyle w:val="Letterbody"/>
        <w:rPr>
          <w:rFonts w:cs="Arial"/>
          <w:bCs/>
          <w:sz w:val="22"/>
          <w:szCs w:val="22"/>
        </w:rPr>
      </w:pPr>
      <w:r>
        <w:rPr>
          <w:rFonts w:cs="Arial"/>
          <w:bCs/>
          <w:sz w:val="22"/>
          <w:szCs w:val="22"/>
        </w:rPr>
        <w:t xml:space="preserve">A 2 </w:t>
      </w:r>
      <w:proofErr w:type="gramStart"/>
      <w:r>
        <w:rPr>
          <w:rFonts w:cs="Arial"/>
          <w:bCs/>
          <w:sz w:val="22"/>
          <w:szCs w:val="22"/>
        </w:rPr>
        <w:t>bed room</w:t>
      </w:r>
      <w:proofErr w:type="gramEnd"/>
      <w:r>
        <w:rPr>
          <w:rFonts w:cs="Arial"/>
          <w:bCs/>
          <w:sz w:val="22"/>
          <w:szCs w:val="22"/>
        </w:rPr>
        <w:t xml:space="preserve"> on the ground floor front block that is accessed off the High Street. A 1 bed flat to the first floor of the front block accessed by the existing staircase to the centre of the plan in turn accessed </w:t>
      </w:r>
      <w:r w:rsidR="000B4E11">
        <w:rPr>
          <w:rFonts w:cs="Arial"/>
          <w:bCs/>
          <w:sz w:val="22"/>
          <w:szCs w:val="22"/>
        </w:rPr>
        <w:t>from</w:t>
      </w:r>
      <w:r>
        <w:rPr>
          <w:rFonts w:cs="Arial"/>
          <w:bCs/>
          <w:sz w:val="22"/>
          <w:szCs w:val="22"/>
        </w:rPr>
        <w:t xml:space="preserve"> the rear entrance lobby from the rear car parking area. </w:t>
      </w:r>
    </w:p>
    <w:p w14:paraId="64D5D48F" w14:textId="77777777" w:rsidR="00ED69A5" w:rsidRDefault="00ED69A5" w:rsidP="006D22FC">
      <w:pPr>
        <w:pStyle w:val="Letterbody"/>
        <w:rPr>
          <w:rFonts w:cs="Arial"/>
          <w:bCs/>
          <w:sz w:val="22"/>
          <w:szCs w:val="22"/>
        </w:rPr>
      </w:pPr>
    </w:p>
    <w:p w14:paraId="2EF361E0" w14:textId="5BFBC588" w:rsidR="006D22FC" w:rsidRDefault="006D22FC" w:rsidP="006D22FC">
      <w:pPr>
        <w:pStyle w:val="Letterbody"/>
        <w:rPr>
          <w:rFonts w:cs="Arial"/>
          <w:bCs/>
          <w:sz w:val="22"/>
          <w:szCs w:val="22"/>
        </w:rPr>
      </w:pPr>
      <w:r>
        <w:rPr>
          <w:rFonts w:cs="Arial"/>
          <w:bCs/>
          <w:sz w:val="22"/>
          <w:szCs w:val="22"/>
        </w:rPr>
        <w:t xml:space="preserve">The other two flats in the rear bocks are 1 bed both are accessed from a back door to ground floor and an existing external metal fire escape </w:t>
      </w:r>
      <w:proofErr w:type="gramStart"/>
      <w:r>
        <w:rPr>
          <w:rFonts w:cs="Arial"/>
          <w:bCs/>
          <w:sz w:val="22"/>
          <w:szCs w:val="22"/>
        </w:rPr>
        <w:t>steps</w:t>
      </w:r>
      <w:proofErr w:type="gramEnd"/>
      <w:r>
        <w:rPr>
          <w:rFonts w:cs="Arial"/>
          <w:bCs/>
          <w:sz w:val="22"/>
          <w:szCs w:val="22"/>
        </w:rPr>
        <w:t>.</w:t>
      </w:r>
    </w:p>
    <w:p w14:paraId="16C3D90B" w14:textId="77777777" w:rsidR="006D22FC" w:rsidRDefault="006D22FC" w:rsidP="006D22FC">
      <w:pPr>
        <w:pStyle w:val="Letterbody"/>
        <w:rPr>
          <w:rFonts w:cs="Arial"/>
          <w:bCs/>
          <w:sz w:val="22"/>
          <w:szCs w:val="22"/>
        </w:rPr>
      </w:pPr>
    </w:p>
    <w:p w14:paraId="0322E38A" w14:textId="3F9F6B41" w:rsidR="006D22FC" w:rsidRDefault="006D22FC" w:rsidP="006D22FC">
      <w:pPr>
        <w:pStyle w:val="Letterbody"/>
        <w:rPr>
          <w:rFonts w:cs="Arial"/>
          <w:bCs/>
          <w:sz w:val="22"/>
          <w:szCs w:val="22"/>
        </w:rPr>
      </w:pPr>
      <w:r>
        <w:rPr>
          <w:rFonts w:cs="Arial"/>
          <w:bCs/>
          <w:sz w:val="22"/>
          <w:szCs w:val="22"/>
        </w:rPr>
        <w:t>A rear access from the inner hall to the staircase could still provide direct access to the rear parking and bin storage</w:t>
      </w:r>
      <w:r w:rsidR="000B4E11">
        <w:rPr>
          <w:rFonts w:cs="Arial"/>
          <w:bCs/>
          <w:sz w:val="22"/>
          <w:szCs w:val="22"/>
        </w:rPr>
        <w:t xml:space="preserve"> from the front flats</w:t>
      </w:r>
      <w:r>
        <w:rPr>
          <w:rFonts w:cs="Arial"/>
          <w:bCs/>
          <w:sz w:val="22"/>
          <w:szCs w:val="22"/>
        </w:rPr>
        <w:t xml:space="preserve">. </w:t>
      </w:r>
    </w:p>
    <w:p w14:paraId="4EE8C68E" w14:textId="77777777" w:rsidR="006D22FC" w:rsidRDefault="006D22FC" w:rsidP="006D22FC">
      <w:pPr>
        <w:pStyle w:val="Letterbody"/>
        <w:rPr>
          <w:rFonts w:cs="Arial"/>
          <w:bCs/>
          <w:sz w:val="22"/>
          <w:szCs w:val="22"/>
        </w:rPr>
      </w:pPr>
    </w:p>
    <w:p w14:paraId="53160994" w14:textId="49C66327" w:rsidR="006D22FC" w:rsidRDefault="006D22FC" w:rsidP="006D22FC">
      <w:pPr>
        <w:pStyle w:val="Letterbody"/>
        <w:rPr>
          <w:rFonts w:cs="Arial"/>
          <w:bCs/>
          <w:sz w:val="22"/>
          <w:szCs w:val="22"/>
        </w:rPr>
      </w:pPr>
      <w:r>
        <w:rPr>
          <w:rFonts w:cs="Arial"/>
          <w:bCs/>
          <w:sz w:val="22"/>
          <w:szCs w:val="22"/>
        </w:rPr>
        <w:t>The</w:t>
      </w:r>
      <w:r w:rsidR="00ED69A5">
        <w:rPr>
          <w:rFonts w:cs="Arial"/>
          <w:bCs/>
          <w:sz w:val="22"/>
          <w:szCs w:val="22"/>
        </w:rPr>
        <w:t xml:space="preserve"> </w:t>
      </w:r>
      <w:r w:rsidR="000B4E11">
        <w:rPr>
          <w:rFonts w:cs="Arial"/>
          <w:bCs/>
          <w:sz w:val="22"/>
          <w:szCs w:val="22"/>
        </w:rPr>
        <w:t xml:space="preserve">approved layout has </w:t>
      </w:r>
      <w:r>
        <w:rPr>
          <w:rFonts w:cs="Arial"/>
          <w:bCs/>
          <w:sz w:val="22"/>
          <w:szCs w:val="22"/>
        </w:rPr>
        <w:t>two flats to the rear blocks</w:t>
      </w:r>
      <w:r w:rsidR="000B4E11">
        <w:rPr>
          <w:rFonts w:cs="Arial"/>
          <w:bCs/>
          <w:sz w:val="22"/>
          <w:szCs w:val="22"/>
        </w:rPr>
        <w:t>. Their orientation</w:t>
      </w:r>
      <w:r>
        <w:rPr>
          <w:rFonts w:cs="Arial"/>
          <w:bCs/>
          <w:sz w:val="22"/>
          <w:szCs w:val="22"/>
        </w:rPr>
        <w:t xml:space="preserve"> </w:t>
      </w:r>
      <w:r w:rsidR="000B4E11">
        <w:rPr>
          <w:rFonts w:cs="Arial"/>
          <w:bCs/>
          <w:sz w:val="22"/>
          <w:szCs w:val="22"/>
        </w:rPr>
        <w:t xml:space="preserve">concentrates </w:t>
      </w:r>
      <w:r>
        <w:rPr>
          <w:rFonts w:cs="Arial"/>
          <w:bCs/>
          <w:sz w:val="22"/>
          <w:szCs w:val="22"/>
        </w:rPr>
        <w:t>activity to the rear and in modern late 20</w:t>
      </w:r>
      <w:r w:rsidRPr="00AB4CEB">
        <w:rPr>
          <w:rFonts w:cs="Arial"/>
          <w:bCs/>
          <w:sz w:val="22"/>
          <w:szCs w:val="22"/>
          <w:vertAlign w:val="superscript"/>
        </w:rPr>
        <w:t>th</w:t>
      </w:r>
      <w:r>
        <w:rPr>
          <w:rFonts w:cs="Arial"/>
          <w:bCs/>
          <w:sz w:val="22"/>
          <w:szCs w:val="22"/>
        </w:rPr>
        <w:t xml:space="preserve"> century extensions.</w:t>
      </w:r>
    </w:p>
    <w:p w14:paraId="0F7A645C" w14:textId="77777777" w:rsidR="006D22FC" w:rsidRDefault="006D22FC" w:rsidP="006D22FC">
      <w:pPr>
        <w:pStyle w:val="Letterbody"/>
        <w:rPr>
          <w:rFonts w:cs="Arial"/>
          <w:bCs/>
          <w:sz w:val="22"/>
          <w:szCs w:val="22"/>
        </w:rPr>
      </w:pPr>
    </w:p>
    <w:p w14:paraId="7EA4C6FC" w14:textId="1FC73058" w:rsidR="000B4E11" w:rsidRDefault="000B4E11" w:rsidP="006D22FC">
      <w:pPr>
        <w:pStyle w:val="Letterbody"/>
        <w:rPr>
          <w:rFonts w:cs="Arial"/>
          <w:bCs/>
          <w:sz w:val="22"/>
          <w:szCs w:val="22"/>
        </w:rPr>
      </w:pPr>
      <w:r>
        <w:rPr>
          <w:rFonts w:cs="Arial"/>
          <w:bCs/>
          <w:sz w:val="22"/>
          <w:szCs w:val="22"/>
        </w:rPr>
        <w:t xml:space="preserve">The introduction of a further balcony with French doors  to the rear of the gable on the first floor would be seen as a cumulative addition to the already approved </w:t>
      </w:r>
      <w:r w:rsidR="003772C2">
        <w:rPr>
          <w:rFonts w:cs="Arial"/>
          <w:bCs/>
          <w:sz w:val="22"/>
          <w:szCs w:val="22"/>
        </w:rPr>
        <w:t xml:space="preserve">and French doors to the ground floor </w:t>
      </w:r>
      <w:r w:rsidR="003772C2">
        <w:rPr>
          <w:rFonts w:cs="Arial"/>
          <w:bCs/>
          <w:sz w:val="22"/>
          <w:szCs w:val="22"/>
        </w:rPr>
        <w:t xml:space="preserve">below this balcony </w:t>
      </w:r>
      <w:r w:rsidR="003772C2">
        <w:rPr>
          <w:rFonts w:cs="Arial"/>
          <w:bCs/>
          <w:sz w:val="22"/>
          <w:szCs w:val="22"/>
        </w:rPr>
        <w:t>for access to an external patio area</w:t>
      </w:r>
      <w:r w:rsidR="003772C2">
        <w:rPr>
          <w:rFonts w:cs="Arial"/>
          <w:bCs/>
          <w:sz w:val="22"/>
          <w:szCs w:val="22"/>
        </w:rPr>
        <w:t xml:space="preserve"> for this</w:t>
      </w:r>
      <w:r w:rsidR="004A160F">
        <w:rPr>
          <w:rFonts w:cs="Arial"/>
          <w:bCs/>
          <w:sz w:val="22"/>
          <w:szCs w:val="22"/>
        </w:rPr>
        <w:t xml:space="preserve"> ground floor</w:t>
      </w:r>
      <w:r w:rsidR="003772C2">
        <w:rPr>
          <w:rFonts w:cs="Arial"/>
          <w:bCs/>
          <w:sz w:val="22"/>
          <w:szCs w:val="22"/>
        </w:rPr>
        <w:t xml:space="preserve"> flat and the </w:t>
      </w:r>
      <w:r w:rsidR="004A160F">
        <w:rPr>
          <w:rFonts w:cs="Arial"/>
          <w:bCs/>
          <w:sz w:val="22"/>
          <w:szCs w:val="22"/>
        </w:rPr>
        <w:t xml:space="preserve">new </w:t>
      </w:r>
      <w:r>
        <w:rPr>
          <w:rFonts w:cs="Arial"/>
          <w:bCs/>
          <w:sz w:val="22"/>
          <w:szCs w:val="22"/>
        </w:rPr>
        <w:t xml:space="preserve">rear staircase and external landing </w:t>
      </w:r>
      <w:r w:rsidR="003772C2">
        <w:rPr>
          <w:rFonts w:cs="Arial"/>
          <w:bCs/>
          <w:sz w:val="22"/>
          <w:szCs w:val="22"/>
        </w:rPr>
        <w:t xml:space="preserve">to the </w:t>
      </w:r>
      <w:r>
        <w:rPr>
          <w:rFonts w:cs="Arial"/>
          <w:bCs/>
          <w:sz w:val="22"/>
          <w:szCs w:val="22"/>
        </w:rPr>
        <w:t>side of the rear range that provide</w:t>
      </w:r>
      <w:r w:rsidR="003772C2">
        <w:rPr>
          <w:rFonts w:cs="Arial"/>
          <w:bCs/>
          <w:sz w:val="22"/>
          <w:szCs w:val="22"/>
        </w:rPr>
        <w:t>s</w:t>
      </w:r>
      <w:r>
        <w:rPr>
          <w:rFonts w:cs="Arial"/>
          <w:bCs/>
          <w:sz w:val="22"/>
          <w:szCs w:val="22"/>
        </w:rPr>
        <w:t xml:space="preserve"> the essential access to the rear two flats and rear access to parking and bin storage</w:t>
      </w:r>
      <w:r w:rsidR="003772C2">
        <w:rPr>
          <w:rFonts w:cs="Arial"/>
          <w:bCs/>
          <w:sz w:val="22"/>
          <w:szCs w:val="22"/>
        </w:rPr>
        <w:t xml:space="preserve">, </w:t>
      </w:r>
      <w:r>
        <w:rPr>
          <w:rFonts w:cs="Arial"/>
          <w:bCs/>
          <w:sz w:val="22"/>
          <w:szCs w:val="22"/>
        </w:rPr>
        <w:t xml:space="preserve"> </w:t>
      </w:r>
    </w:p>
    <w:p w14:paraId="5298E143" w14:textId="77777777" w:rsidR="000B4E11" w:rsidRDefault="000B4E11" w:rsidP="006D22FC">
      <w:pPr>
        <w:pStyle w:val="Letterbody"/>
        <w:rPr>
          <w:rFonts w:cs="Arial"/>
          <w:bCs/>
          <w:sz w:val="22"/>
          <w:szCs w:val="22"/>
        </w:rPr>
      </w:pPr>
    </w:p>
    <w:p w14:paraId="164895E9" w14:textId="77777777" w:rsidR="003772C2" w:rsidRDefault="000B4E11" w:rsidP="006D22FC">
      <w:pPr>
        <w:pStyle w:val="Letterbody"/>
        <w:rPr>
          <w:rFonts w:cs="Arial"/>
          <w:bCs/>
          <w:sz w:val="22"/>
          <w:szCs w:val="22"/>
        </w:rPr>
      </w:pPr>
      <w:r>
        <w:rPr>
          <w:rFonts w:cs="Arial"/>
          <w:bCs/>
          <w:sz w:val="22"/>
          <w:szCs w:val="22"/>
        </w:rPr>
        <w:t xml:space="preserve">It is considered that this proposed balcony would add both physical additions to the rear elevation of No. 117 </w:t>
      </w:r>
      <w:r w:rsidR="003772C2">
        <w:rPr>
          <w:rFonts w:cs="Arial"/>
          <w:bCs/>
          <w:sz w:val="22"/>
          <w:szCs w:val="22"/>
        </w:rPr>
        <w:t xml:space="preserve">and </w:t>
      </w:r>
      <w:r>
        <w:rPr>
          <w:rFonts w:cs="Arial"/>
          <w:bCs/>
          <w:sz w:val="22"/>
          <w:szCs w:val="22"/>
        </w:rPr>
        <w:t xml:space="preserve">would increase the domestic activity and paraphernalia </w:t>
      </w:r>
      <w:r w:rsidR="003772C2">
        <w:rPr>
          <w:rFonts w:cs="Arial"/>
          <w:bCs/>
          <w:sz w:val="22"/>
          <w:szCs w:val="22"/>
        </w:rPr>
        <w:t xml:space="preserve">to </w:t>
      </w:r>
      <w:r>
        <w:rPr>
          <w:rFonts w:cs="Arial"/>
          <w:bCs/>
          <w:sz w:val="22"/>
          <w:szCs w:val="22"/>
        </w:rPr>
        <w:t xml:space="preserve">the rear elevation that would have a low level but cumulative impact on the setting of the rear of the neighbouring listed building No. 118 and the character and appearance of the Conservation Area which although it is mostly viewed </w:t>
      </w:r>
      <w:r w:rsidR="003772C2">
        <w:rPr>
          <w:rFonts w:cs="Arial"/>
          <w:bCs/>
          <w:sz w:val="22"/>
          <w:szCs w:val="22"/>
        </w:rPr>
        <w:t>from</w:t>
      </w:r>
      <w:r>
        <w:rPr>
          <w:rFonts w:cs="Arial"/>
          <w:bCs/>
          <w:sz w:val="22"/>
          <w:szCs w:val="22"/>
        </w:rPr>
        <w:t xml:space="preserve"> the rear public car park</w:t>
      </w:r>
      <w:r w:rsidR="003772C2">
        <w:rPr>
          <w:rFonts w:cs="Arial"/>
          <w:bCs/>
          <w:sz w:val="22"/>
          <w:szCs w:val="22"/>
        </w:rPr>
        <w:t xml:space="preserve"> is a</w:t>
      </w:r>
      <w:r>
        <w:rPr>
          <w:rFonts w:cs="Arial"/>
          <w:bCs/>
          <w:sz w:val="22"/>
          <w:szCs w:val="22"/>
        </w:rPr>
        <w:t xml:space="preserve"> public and open elevation.</w:t>
      </w:r>
      <w:r w:rsidR="003772C2">
        <w:rPr>
          <w:rFonts w:cs="Arial"/>
          <w:bCs/>
          <w:sz w:val="22"/>
          <w:szCs w:val="22"/>
        </w:rPr>
        <w:t xml:space="preserve"> </w:t>
      </w:r>
    </w:p>
    <w:p w14:paraId="4B740995" w14:textId="77777777" w:rsidR="003772C2" w:rsidRDefault="003772C2" w:rsidP="006D22FC">
      <w:pPr>
        <w:pStyle w:val="Letterbody"/>
        <w:rPr>
          <w:rFonts w:cs="Arial"/>
          <w:bCs/>
          <w:sz w:val="22"/>
          <w:szCs w:val="22"/>
        </w:rPr>
      </w:pPr>
    </w:p>
    <w:p w14:paraId="26FCFF4D" w14:textId="6C15E08C" w:rsidR="004A160F" w:rsidRDefault="004A160F" w:rsidP="004A160F">
      <w:pPr>
        <w:pStyle w:val="Letterbody"/>
        <w:rPr>
          <w:rFonts w:cs="Arial"/>
          <w:bCs/>
          <w:sz w:val="22"/>
          <w:szCs w:val="22"/>
        </w:rPr>
      </w:pPr>
      <w:r>
        <w:rPr>
          <w:rFonts w:cs="Arial"/>
          <w:bCs/>
          <w:sz w:val="22"/>
          <w:szCs w:val="22"/>
        </w:rPr>
        <w:lastRenderedPageBreak/>
        <w:t xml:space="preserve">These current proposals </w:t>
      </w:r>
      <w:r>
        <w:rPr>
          <w:rFonts w:cs="Arial"/>
          <w:bCs/>
          <w:sz w:val="22"/>
          <w:szCs w:val="22"/>
        </w:rPr>
        <w:t>are</w:t>
      </w:r>
      <w:r>
        <w:rPr>
          <w:rFonts w:cs="Arial"/>
          <w:bCs/>
          <w:sz w:val="22"/>
          <w:szCs w:val="22"/>
        </w:rPr>
        <w:t xml:space="preserve"> in context of the heritage assets a cumulative impact of a low-level harm. The justification is limited to private domestic accommodation improvements for the first floor flat rather than any Conservation benefits. </w:t>
      </w:r>
    </w:p>
    <w:p w14:paraId="52DAF8B9" w14:textId="77777777" w:rsidR="004A160F" w:rsidRDefault="004A160F" w:rsidP="004A160F">
      <w:pPr>
        <w:pStyle w:val="Letterbody"/>
        <w:rPr>
          <w:rFonts w:cs="Arial"/>
          <w:bCs/>
          <w:sz w:val="22"/>
          <w:szCs w:val="22"/>
        </w:rPr>
      </w:pPr>
    </w:p>
    <w:p w14:paraId="3584C38C" w14:textId="755F7228" w:rsidR="004A160F" w:rsidRDefault="004A160F" w:rsidP="004A160F">
      <w:pPr>
        <w:pStyle w:val="Letterbody"/>
        <w:rPr>
          <w:rFonts w:cs="Arial"/>
          <w:bCs/>
          <w:sz w:val="22"/>
          <w:szCs w:val="22"/>
        </w:rPr>
      </w:pPr>
      <w:r>
        <w:rPr>
          <w:rFonts w:cs="Arial"/>
          <w:bCs/>
          <w:sz w:val="22"/>
          <w:szCs w:val="22"/>
        </w:rPr>
        <w:t xml:space="preserve">While the balcony addition </w:t>
      </w:r>
      <w:r>
        <w:rPr>
          <w:rFonts w:cs="Arial"/>
          <w:bCs/>
          <w:sz w:val="22"/>
          <w:szCs w:val="22"/>
        </w:rPr>
        <w:t xml:space="preserve">and French doors </w:t>
      </w:r>
      <w:r>
        <w:rPr>
          <w:rFonts w:cs="Arial"/>
          <w:bCs/>
          <w:sz w:val="22"/>
          <w:szCs w:val="22"/>
        </w:rPr>
        <w:t>on balance</w:t>
      </w:r>
      <w:r>
        <w:rPr>
          <w:rFonts w:cs="Arial"/>
          <w:bCs/>
          <w:sz w:val="22"/>
          <w:szCs w:val="22"/>
        </w:rPr>
        <w:t xml:space="preserve"> are </w:t>
      </w:r>
      <w:r>
        <w:rPr>
          <w:rFonts w:cs="Arial"/>
          <w:bCs/>
          <w:sz w:val="22"/>
          <w:szCs w:val="22"/>
        </w:rPr>
        <w:t>just acceptable, I consider any further accretions or additions would likely tip the balance to the cumulative harm to the setting of the listed building and the character and appearance the Conservation Area and should be resisted if proposed going forward unless significant public benefits are achieved.</w:t>
      </w:r>
    </w:p>
    <w:p w14:paraId="033F40EB" w14:textId="77777777" w:rsidR="006D22FC" w:rsidRDefault="006D22FC" w:rsidP="006D22FC">
      <w:pPr>
        <w:pStyle w:val="Letterbody"/>
        <w:rPr>
          <w:rFonts w:cs="Arial"/>
          <w:bCs/>
          <w:sz w:val="22"/>
          <w:szCs w:val="22"/>
        </w:rPr>
      </w:pPr>
    </w:p>
    <w:p w14:paraId="2CAA22E8" w14:textId="77777777" w:rsidR="006D22FC" w:rsidRPr="00A238A3" w:rsidRDefault="006D22FC" w:rsidP="006D22FC">
      <w:pPr>
        <w:spacing w:before="100" w:beforeAutospacing="1" w:after="100" w:afterAutospacing="1"/>
        <w:contextualSpacing w:val="0"/>
        <w:rPr>
          <w:rFonts w:cs="Arial"/>
        </w:rPr>
      </w:pPr>
      <w:r>
        <w:rPr>
          <w:rFonts w:cs="Arial"/>
          <w:b/>
        </w:rPr>
        <w:t>Heritage Conclusion and Balancing</w:t>
      </w:r>
      <w:r>
        <w:rPr>
          <w:rFonts w:cs="Arial"/>
        </w:rPr>
        <w:t xml:space="preserve">: The NPPF confirms that when considering the impact of a </w:t>
      </w:r>
      <w:r w:rsidRPr="00C56821">
        <w:rPr>
          <w:rFonts w:cs="Arial"/>
        </w:rPr>
        <w:t>proposed development on the significance of a designated heritage asset, great weight should be given to the asset’s conservation (and the more important the asset, the greater the weight should be). It makes clear that any harm to a designated heritage asset requires clear and convincing justification.</w:t>
      </w:r>
      <w:r>
        <w:rPr>
          <w:rFonts w:cs="Arial"/>
        </w:rPr>
        <w:t xml:space="preserve"> </w:t>
      </w:r>
    </w:p>
    <w:p w14:paraId="154A4728" w14:textId="7A3307E1" w:rsidR="003772C2" w:rsidRDefault="003772C2" w:rsidP="003772C2">
      <w:pPr>
        <w:pStyle w:val="Letterbody"/>
        <w:rPr>
          <w:rFonts w:cs="Arial"/>
          <w:bCs/>
          <w:sz w:val="22"/>
          <w:szCs w:val="22"/>
        </w:rPr>
      </w:pPr>
      <w:r>
        <w:rPr>
          <w:rFonts w:cs="Arial"/>
          <w:bCs/>
          <w:sz w:val="22"/>
          <w:szCs w:val="22"/>
        </w:rPr>
        <w:t xml:space="preserve">These current proposals </w:t>
      </w:r>
      <w:proofErr w:type="gramStart"/>
      <w:r>
        <w:rPr>
          <w:rFonts w:cs="Arial"/>
          <w:bCs/>
          <w:sz w:val="22"/>
          <w:szCs w:val="22"/>
        </w:rPr>
        <w:t>is</w:t>
      </w:r>
      <w:proofErr w:type="gramEnd"/>
      <w:r>
        <w:rPr>
          <w:rFonts w:cs="Arial"/>
          <w:bCs/>
          <w:sz w:val="22"/>
          <w:szCs w:val="22"/>
        </w:rPr>
        <w:t xml:space="preserve"> in context of the heritage assets a cumulative impact of </w:t>
      </w:r>
      <w:r>
        <w:rPr>
          <w:rFonts w:cs="Arial"/>
          <w:bCs/>
          <w:sz w:val="22"/>
          <w:szCs w:val="22"/>
        </w:rPr>
        <w:t>a low-level</w:t>
      </w:r>
      <w:r>
        <w:rPr>
          <w:rFonts w:cs="Arial"/>
          <w:bCs/>
          <w:sz w:val="22"/>
          <w:szCs w:val="22"/>
        </w:rPr>
        <w:t xml:space="preserve"> harm</w:t>
      </w:r>
      <w:r>
        <w:rPr>
          <w:rFonts w:cs="Arial"/>
          <w:bCs/>
          <w:sz w:val="22"/>
          <w:szCs w:val="22"/>
        </w:rPr>
        <w:t xml:space="preserve">. The </w:t>
      </w:r>
      <w:r>
        <w:rPr>
          <w:rFonts w:cs="Arial"/>
          <w:bCs/>
          <w:sz w:val="22"/>
          <w:szCs w:val="22"/>
        </w:rPr>
        <w:t xml:space="preserve">justification is limited to </w:t>
      </w:r>
      <w:r>
        <w:rPr>
          <w:rFonts w:cs="Arial"/>
          <w:bCs/>
          <w:sz w:val="22"/>
          <w:szCs w:val="22"/>
        </w:rPr>
        <w:t xml:space="preserve">private </w:t>
      </w:r>
      <w:r>
        <w:rPr>
          <w:rFonts w:cs="Arial"/>
          <w:bCs/>
          <w:sz w:val="22"/>
          <w:szCs w:val="22"/>
        </w:rPr>
        <w:t xml:space="preserve">domestic accommodation </w:t>
      </w:r>
      <w:r>
        <w:rPr>
          <w:rFonts w:cs="Arial"/>
          <w:bCs/>
          <w:sz w:val="22"/>
          <w:szCs w:val="22"/>
        </w:rPr>
        <w:t xml:space="preserve">improvements </w:t>
      </w:r>
      <w:r>
        <w:rPr>
          <w:rFonts w:cs="Arial"/>
          <w:bCs/>
          <w:sz w:val="22"/>
          <w:szCs w:val="22"/>
        </w:rPr>
        <w:t xml:space="preserve">for the first floor flat </w:t>
      </w:r>
      <w:r>
        <w:rPr>
          <w:rFonts w:cs="Arial"/>
          <w:bCs/>
          <w:sz w:val="22"/>
          <w:szCs w:val="22"/>
        </w:rPr>
        <w:t>rather than any Conservation benefits</w:t>
      </w:r>
      <w:r>
        <w:rPr>
          <w:rFonts w:cs="Arial"/>
          <w:bCs/>
          <w:sz w:val="22"/>
          <w:szCs w:val="22"/>
        </w:rPr>
        <w:t xml:space="preserve">. </w:t>
      </w:r>
    </w:p>
    <w:p w14:paraId="40760B14" w14:textId="77777777" w:rsidR="003772C2" w:rsidRDefault="003772C2" w:rsidP="003772C2">
      <w:pPr>
        <w:pStyle w:val="Letterbody"/>
        <w:rPr>
          <w:rFonts w:cs="Arial"/>
          <w:bCs/>
          <w:sz w:val="22"/>
          <w:szCs w:val="22"/>
        </w:rPr>
      </w:pPr>
    </w:p>
    <w:p w14:paraId="2A04BAB7" w14:textId="11E25A86" w:rsidR="003772C2" w:rsidRDefault="003772C2" w:rsidP="003772C2">
      <w:pPr>
        <w:pStyle w:val="Letterbody"/>
        <w:rPr>
          <w:rFonts w:cs="Arial"/>
          <w:bCs/>
          <w:sz w:val="22"/>
          <w:szCs w:val="22"/>
        </w:rPr>
      </w:pPr>
      <w:r>
        <w:rPr>
          <w:rFonts w:cs="Arial"/>
          <w:bCs/>
          <w:sz w:val="22"/>
          <w:szCs w:val="22"/>
        </w:rPr>
        <w:t xml:space="preserve">While the balcony </w:t>
      </w:r>
      <w:r w:rsidR="004A160F">
        <w:rPr>
          <w:rFonts w:cs="Arial"/>
          <w:bCs/>
          <w:sz w:val="22"/>
          <w:szCs w:val="22"/>
        </w:rPr>
        <w:t xml:space="preserve">addition and French Doors </w:t>
      </w:r>
      <w:r>
        <w:rPr>
          <w:rFonts w:cs="Arial"/>
          <w:bCs/>
          <w:sz w:val="22"/>
          <w:szCs w:val="22"/>
        </w:rPr>
        <w:t>o</w:t>
      </w:r>
      <w:r>
        <w:rPr>
          <w:rFonts w:cs="Arial"/>
          <w:bCs/>
          <w:sz w:val="22"/>
          <w:szCs w:val="22"/>
        </w:rPr>
        <w:t xml:space="preserve">n balance </w:t>
      </w:r>
      <w:r w:rsidR="004A160F">
        <w:rPr>
          <w:rFonts w:cs="Arial"/>
          <w:bCs/>
          <w:sz w:val="22"/>
          <w:szCs w:val="22"/>
        </w:rPr>
        <w:t>are</w:t>
      </w:r>
      <w:r>
        <w:rPr>
          <w:rFonts w:cs="Arial"/>
          <w:bCs/>
          <w:sz w:val="22"/>
          <w:szCs w:val="22"/>
        </w:rPr>
        <w:t xml:space="preserve"> just acceptable, I consider any further accretions or additions would likely tip the balance to the cumulative harm to the setting of the list</w:t>
      </w:r>
      <w:r>
        <w:rPr>
          <w:rFonts w:cs="Arial"/>
          <w:bCs/>
          <w:sz w:val="22"/>
          <w:szCs w:val="22"/>
        </w:rPr>
        <w:t>ed</w:t>
      </w:r>
      <w:r>
        <w:rPr>
          <w:rFonts w:cs="Arial"/>
          <w:bCs/>
          <w:sz w:val="22"/>
          <w:szCs w:val="22"/>
        </w:rPr>
        <w:t xml:space="preserve"> building and the character and appearance the Conservation Area and </w:t>
      </w:r>
      <w:r>
        <w:rPr>
          <w:rFonts w:cs="Arial"/>
          <w:bCs/>
          <w:sz w:val="22"/>
          <w:szCs w:val="22"/>
        </w:rPr>
        <w:t xml:space="preserve">should be </w:t>
      </w:r>
      <w:r w:rsidR="004A160F">
        <w:rPr>
          <w:rFonts w:cs="Arial"/>
          <w:bCs/>
          <w:sz w:val="22"/>
          <w:szCs w:val="22"/>
        </w:rPr>
        <w:t>resisted if proposed going forward unless significant public benefits are achieved</w:t>
      </w:r>
      <w:r>
        <w:rPr>
          <w:rFonts w:cs="Arial"/>
          <w:bCs/>
          <w:sz w:val="22"/>
          <w:szCs w:val="22"/>
        </w:rPr>
        <w:t>.</w:t>
      </w:r>
    </w:p>
    <w:p w14:paraId="2DF6682E" w14:textId="77777777" w:rsidR="006D22FC" w:rsidRDefault="006D22FC" w:rsidP="006D22FC">
      <w:pPr>
        <w:pStyle w:val="Letterbody"/>
        <w:rPr>
          <w:rFonts w:cs="Arial"/>
          <w:bCs/>
          <w:sz w:val="22"/>
          <w:szCs w:val="22"/>
        </w:rPr>
      </w:pPr>
    </w:p>
    <w:p w14:paraId="61077610" w14:textId="77777777" w:rsidR="006D22FC" w:rsidRDefault="006D22FC" w:rsidP="006D22FC"/>
    <w:p w14:paraId="0D2B8D1D" w14:textId="77777777" w:rsidR="00614A53" w:rsidRDefault="00614A53"/>
    <w:sectPr w:rsidR="00614A53" w:rsidSect="006D22F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22FC"/>
    <w:rsid w:val="000337AB"/>
    <w:rsid w:val="000B4E11"/>
    <w:rsid w:val="002A6DEF"/>
    <w:rsid w:val="003772C2"/>
    <w:rsid w:val="004A160F"/>
    <w:rsid w:val="00614A53"/>
    <w:rsid w:val="006D22FC"/>
    <w:rsid w:val="00D15B49"/>
    <w:rsid w:val="00ED69A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856FF0"/>
  <w15:chartTrackingRefBased/>
  <w15:docId w15:val="{950D9DB2-0D9F-4D02-BF4F-38E399CF4E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22FC"/>
    <w:pPr>
      <w:spacing w:after="200" w:line="240" w:lineRule="auto"/>
      <w:contextualSpacing/>
    </w:pPr>
    <w:rPr>
      <w:rFonts w:ascii="Arial" w:hAnsi="Arial"/>
      <w:kern w:val="0"/>
      <w:sz w:val="22"/>
      <w:szCs w:val="22"/>
      <w14:ligatures w14:val="none"/>
    </w:rPr>
  </w:style>
  <w:style w:type="paragraph" w:styleId="Heading1">
    <w:name w:val="heading 1"/>
    <w:basedOn w:val="Normal"/>
    <w:next w:val="Normal"/>
    <w:link w:val="Heading1Char"/>
    <w:uiPriority w:val="9"/>
    <w:qFormat/>
    <w:rsid w:val="006D22FC"/>
    <w:pPr>
      <w:keepNext/>
      <w:keepLines/>
      <w:spacing w:before="360" w:after="80" w:line="278" w:lineRule="auto"/>
      <w:contextualSpacing w:val="0"/>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6D22FC"/>
    <w:pPr>
      <w:keepNext/>
      <w:keepLines/>
      <w:spacing w:before="160" w:after="80" w:line="278" w:lineRule="auto"/>
      <w:contextualSpacing w:val="0"/>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6D22FC"/>
    <w:pPr>
      <w:keepNext/>
      <w:keepLines/>
      <w:spacing w:before="160" w:after="80" w:line="278" w:lineRule="auto"/>
      <w:contextualSpacing w:val="0"/>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6D22FC"/>
    <w:pPr>
      <w:keepNext/>
      <w:keepLines/>
      <w:spacing w:before="80" w:after="40" w:line="278" w:lineRule="auto"/>
      <w:contextualSpacing w:val="0"/>
      <w:outlineLvl w:val="3"/>
    </w:pPr>
    <w:rPr>
      <w:rFonts w:asciiTheme="minorHAnsi" w:eastAsiaTheme="majorEastAsia" w:hAnsiTheme="minorHAnsi"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6D22FC"/>
    <w:pPr>
      <w:keepNext/>
      <w:keepLines/>
      <w:spacing w:before="80" w:after="40" w:line="278" w:lineRule="auto"/>
      <w:contextualSpacing w:val="0"/>
      <w:outlineLvl w:val="4"/>
    </w:pPr>
    <w:rPr>
      <w:rFonts w:asciiTheme="minorHAnsi" w:eastAsiaTheme="majorEastAsia" w:hAnsiTheme="minorHAnsi"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6D22FC"/>
    <w:pPr>
      <w:keepNext/>
      <w:keepLines/>
      <w:spacing w:before="40" w:after="0" w:line="278" w:lineRule="auto"/>
      <w:contextualSpacing w:val="0"/>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6D22FC"/>
    <w:pPr>
      <w:keepNext/>
      <w:keepLines/>
      <w:spacing w:before="40" w:after="0" w:line="278" w:lineRule="auto"/>
      <w:contextualSpacing w:val="0"/>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6D22FC"/>
    <w:pPr>
      <w:keepNext/>
      <w:keepLines/>
      <w:spacing w:after="0" w:line="278" w:lineRule="auto"/>
      <w:contextualSpacing w:val="0"/>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6D22FC"/>
    <w:pPr>
      <w:keepNext/>
      <w:keepLines/>
      <w:spacing w:after="0" w:line="278" w:lineRule="auto"/>
      <w:contextualSpacing w:val="0"/>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22F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D22F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D22F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D22F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D22F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D22F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D22F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D22F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D22FC"/>
    <w:rPr>
      <w:rFonts w:eastAsiaTheme="majorEastAsia" w:cstheme="majorBidi"/>
      <w:color w:val="272727" w:themeColor="text1" w:themeTint="D8"/>
    </w:rPr>
  </w:style>
  <w:style w:type="paragraph" w:styleId="Title">
    <w:name w:val="Title"/>
    <w:basedOn w:val="Normal"/>
    <w:next w:val="Normal"/>
    <w:link w:val="TitleChar"/>
    <w:uiPriority w:val="10"/>
    <w:qFormat/>
    <w:rsid w:val="006D22FC"/>
    <w:pPr>
      <w:spacing w:after="80"/>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6D22F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D22FC"/>
    <w:pPr>
      <w:numPr>
        <w:ilvl w:val="1"/>
      </w:numPr>
      <w:spacing w:after="160" w:line="278" w:lineRule="auto"/>
      <w:contextualSpacing w:val="0"/>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6D22F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D22FC"/>
    <w:pPr>
      <w:spacing w:before="160" w:after="160" w:line="278" w:lineRule="auto"/>
      <w:contextualSpacing w:val="0"/>
      <w:jc w:val="center"/>
    </w:pPr>
    <w:rPr>
      <w:rFonts w:asciiTheme="minorHAnsi" w:hAnsiTheme="minorHAns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6D22FC"/>
    <w:rPr>
      <w:i/>
      <w:iCs/>
      <w:color w:val="404040" w:themeColor="text1" w:themeTint="BF"/>
    </w:rPr>
  </w:style>
  <w:style w:type="paragraph" w:styleId="ListParagraph">
    <w:name w:val="List Paragraph"/>
    <w:basedOn w:val="Normal"/>
    <w:uiPriority w:val="34"/>
    <w:qFormat/>
    <w:rsid w:val="006D22FC"/>
    <w:pPr>
      <w:spacing w:after="160" w:line="278" w:lineRule="auto"/>
      <w:ind w:left="720"/>
    </w:pPr>
    <w:rPr>
      <w:rFonts w:asciiTheme="minorHAnsi" w:hAnsiTheme="minorHAnsi"/>
      <w:kern w:val="2"/>
      <w:sz w:val="24"/>
      <w:szCs w:val="24"/>
      <w14:ligatures w14:val="standardContextual"/>
    </w:rPr>
  </w:style>
  <w:style w:type="character" w:styleId="IntenseEmphasis">
    <w:name w:val="Intense Emphasis"/>
    <w:basedOn w:val="DefaultParagraphFont"/>
    <w:uiPriority w:val="21"/>
    <w:qFormat/>
    <w:rsid w:val="006D22FC"/>
    <w:rPr>
      <w:i/>
      <w:iCs/>
      <w:color w:val="0F4761" w:themeColor="accent1" w:themeShade="BF"/>
    </w:rPr>
  </w:style>
  <w:style w:type="paragraph" w:styleId="IntenseQuote">
    <w:name w:val="Intense Quote"/>
    <w:basedOn w:val="Normal"/>
    <w:next w:val="Normal"/>
    <w:link w:val="IntenseQuoteChar"/>
    <w:uiPriority w:val="30"/>
    <w:qFormat/>
    <w:rsid w:val="006D22FC"/>
    <w:pPr>
      <w:pBdr>
        <w:top w:val="single" w:sz="4" w:space="10" w:color="0F4761" w:themeColor="accent1" w:themeShade="BF"/>
        <w:bottom w:val="single" w:sz="4" w:space="10" w:color="0F4761" w:themeColor="accent1" w:themeShade="BF"/>
      </w:pBdr>
      <w:spacing w:before="360" w:after="360" w:line="278" w:lineRule="auto"/>
      <w:ind w:left="864" w:right="864"/>
      <w:contextualSpacing w:val="0"/>
      <w:jc w:val="center"/>
    </w:pPr>
    <w:rPr>
      <w:rFonts w:asciiTheme="minorHAnsi" w:hAnsiTheme="minorHAnsi"/>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6D22FC"/>
    <w:rPr>
      <w:i/>
      <w:iCs/>
      <w:color w:val="0F4761" w:themeColor="accent1" w:themeShade="BF"/>
    </w:rPr>
  </w:style>
  <w:style w:type="character" w:styleId="IntenseReference">
    <w:name w:val="Intense Reference"/>
    <w:basedOn w:val="DefaultParagraphFont"/>
    <w:uiPriority w:val="32"/>
    <w:qFormat/>
    <w:rsid w:val="006D22FC"/>
    <w:rPr>
      <w:b/>
      <w:bCs/>
      <w:smallCaps/>
      <w:color w:val="0F4761" w:themeColor="accent1" w:themeShade="BF"/>
      <w:spacing w:val="5"/>
    </w:rPr>
  </w:style>
  <w:style w:type="paragraph" w:customStyle="1" w:styleId="Letterbody">
    <w:name w:val="Letter body"/>
    <w:basedOn w:val="Normal"/>
    <w:rsid w:val="006D22FC"/>
    <w:pPr>
      <w:tabs>
        <w:tab w:val="left" w:pos="1701"/>
      </w:tabs>
      <w:spacing w:after="0"/>
      <w:contextualSpacing w:val="0"/>
      <w:jc w:val="both"/>
    </w:pPr>
    <w:rPr>
      <w:rFonts w:eastAsia="Times New Roman" w:cs="Times New Roman"/>
      <w:sz w:val="24"/>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45</TotalTime>
  <Pages>4</Pages>
  <Words>1737</Words>
  <Characters>9227</Characters>
  <Application>Microsoft Office Word</Application>
  <DocSecurity>0</DocSecurity>
  <Lines>192</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Marsh, Alex</dc:creator>
  <cp:keywords/>
  <dc:description/>
  <cp:lastModifiedBy>Marsh, Alex</cp:lastModifiedBy>
  <cp:revision>2</cp:revision>
  <dcterms:created xsi:type="dcterms:W3CDTF">2026-03-30T12:32:00Z</dcterms:created>
  <dcterms:modified xsi:type="dcterms:W3CDTF">2026-03-30T13:17:00Z</dcterms:modified>
</cp:coreProperties>
</file>