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F4C54"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6BEFFDE4"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70EC09B0"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042DED8A" w14:textId="77777777" w:rsidTr="004C3265">
        <w:tc>
          <w:tcPr>
            <w:tcW w:w="3539" w:type="dxa"/>
          </w:tcPr>
          <w:p w14:paraId="2A3C9A80"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71FFFA30"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PL/2026/00284</w:t>
            </w:r>
          </w:p>
        </w:tc>
      </w:tr>
      <w:tr w:rsidR="00477CC4" w14:paraId="41270223" w14:textId="77777777" w:rsidTr="004C3265">
        <w:tc>
          <w:tcPr>
            <w:tcW w:w="3539" w:type="dxa"/>
          </w:tcPr>
          <w:p w14:paraId="70FE826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6EDD76E4"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2B703FFE" w14:textId="77777777" w:rsidTr="004C3265">
        <w:tc>
          <w:tcPr>
            <w:tcW w:w="3539" w:type="dxa"/>
          </w:tcPr>
          <w:p w14:paraId="1089D58E"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12D25E16"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Crammer Court, Church Walk, Devizes</w:t>
            </w:r>
          </w:p>
        </w:tc>
      </w:tr>
      <w:tr w:rsidR="00477CC4" w14:paraId="5E129EB9" w14:textId="77777777" w:rsidTr="004C3265">
        <w:tc>
          <w:tcPr>
            <w:tcW w:w="3539" w:type="dxa"/>
          </w:tcPr>
          <w:p w14:paraId="0C53D07D"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0671FD64"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Replace all existing softwood windows with uPVC framed units. Ground Floor Flat No's 1 to 14 incl. First Floor No's 22 to 31 and 33 to 36. Second Floor Flat No's 44 to 46. All Ground Floor and First Floor communal areas</w:t>
            </w:r>
          </w:p>
        </w:tc>
      </w:tr>
      <w:tr w:rsidR="00477CC4" w14:paraId="5241E7A4" w14:textId="77777777" w:rsidTr="004C3265">
        <w:tc>
          <w:tcPr>
            <w:tcW w:w="3539" w:type="dxa"/>
          </w:tcPr>
          <w:p w14:paraId="0B5FFE4B"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7CAB49FA" w14:textId="77777777"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4560671A" w14:textId="77777777" w:rsidR="00F7609E" w:rsidRPr="00F7609E" w:rsidRDefault="00F7609E" w:rsidP="00F7609E">
      <w:pPr>
        <w:spacing w:line="276" w:lineRule="auto"/>
        <w:jc w:val="both"/>
        <w:rPr>
          <w:rFonts w:ascii="Arial" w:hAnsi="Arial" w:cs="Arial"/>
          <w:sz w:val="22"/>
          <w:szCs w:val="22"/>
        </w:rPr>
      </w:pPr>
    </w:p>
    <w:p w14:paraId="1E603933"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6C7F0A74" w14:textId="77777777" w:rsidR="00683C17" w:rsidRPr="00624C01" w:rsidRDefault="00683C17" w:rsidP="00683C17">
      <w:pPr>
        <w:spacing w:line="276" w:lineRule="auto"/>
        <w:jc w:val="both"/>
        <w:rPr>
          <w:rFonts w:ascii="Arial" w:hAnsi="Arial" w:cs="Arial"/>
          <w:sz w:val="22"/>
          <w:szCs w:val="22"/>
        </w:rPr>
      </w:pPr>
    </w:p>
    <w:p w14:paraId="30AE152B" w14:textId="77777777" w:rsidR="0042402B" w:rsidRPr="0042402B" w:rsidRDefault="0042402B" w:rsidP="00D075F2">
      <w:pPr>
        <w:spacing w:line="276" w:lineRule="auto"/>
        <w:jc w:val="both"/>
        <w:rPr>
          <w:rFonts w:ascii="Arial" w:hAnsi="Arial" w:cs="Arial"/>
          <w:sz w:val="22"/>
          <w:szCs w:val="22"/>
        </w:rPr>
      </w:pPr>
      <w:r w:rsidRPr="0042402B">
        <w:rPr>
          <w:rFonts w:ascii="Arial" w:hAnsi="Arial" w:cs="Arial"/>
          <w:sz w:val="22"/>
          <w:szCs w:val="22"/>
        </w:rPr>
        <w:t>The application site relates to Crammer Court, Devizes.  It is a block of flats, built from red brick, under tiled roofs, with timber framed windows.  It is a sheltered housing facility of 1 and 2 bed flats with communal areas.</w:t>
      </w:r>
    </w:p>
    <w:p w14:paraId="216ED768" w14:textId="77777777" w:rsidR="0042402B" w:rsidRPr="0042402B" w:rsidRDefault="0042402B" w:rsidP="00D075F2">
      <w:pPr>
        <w:spacing w:line="276" w:lineRule="auto"/>
        <w:jc w:val="both"/>
        <w:rPr>
          <w:rFonts w:ascii="Arial" w:hAnsi="Arial" w:cs="Arial"/>
          <w:sz w:val="22"/>
          <w:szCs w:val="22"/>
        </w:rPr>
      </w:pPr>
    </w:p>
    <w:p w14:paraId="344A80E1" w14:textId="77777777" w:rsidR="0042402B" w:rsidRPr="0042402B" w:rsidRDefault="0042402B" w:rsidP="00D075F2">
      <w:pPr>
        <w:spacing w:line="276" w:lineRule="auto"/>
        <w:jc w:val="both"/>
        <w:rPr>
          <w:rFonts w:ascii="Arial" w:hAnsi="Arial" w:cs="Arial"/>
          <w:sz w:val="22"/>
          <w:szCs w:val="22"/>
        </w:rPr>
      </w:pPr>
      <w:r w:rsidRPr="0042402B">
        <w:rPr>
          <w:rFonts w:ascii="Arial" w:hAnsi="Arial" w:cs="Arial"/>
          <w:sz w:val="22"/>
          <w:szCs w:val="22"/>
        </w:rPr>
        <w:t xml:space="preserve">The application property is partly located within the Devizes Conservation Area Boundary.  </w:t>
      </w:r>
    </w:p>
    <w:p w14:paraId="65946F60" w14:textId="77777777" w:rsidR="00683C17" w:rsidRPr="00624C01" w:rsidRDefault="00683C17" w:rsidP="00683C17">
      <w:pPr>
        <w:spacing w:line="276" w:lineRule="auto"/>
        <w:jc w:val="both"/>
        <w:outlineLvl w:val="2"/>
        <w:rPr>
          <w:rFonts w:ascii="Arial" w:hAnsi="Arial" w:cs="Arial"/>
          <w:sz w:val="22"/>
          <w:szCs w:val="22"/>
        </w:rPr>
      </w:pPr>
    </w:p>
    <w:p w14:paraId="06C731FA" w14:textId="77777777" w:rsidR="00624C01" w:rsidRDefault="00624C01" w:rsidP="00683C17">
      <w:pPr>
        <w:spacing w:line="276" w:lineRule="auto"/>
        <w:jc w:val="both"/>
        <w:outlineLvl w:val="2"/>
        <w:rPr>
          <w:rFonts w:ascii="Arial" w:hAnsi="Arial" w:cs="Arial"/>
          <w:b/>
          <w:bCs/>
          <w:sz w:val="22"/>
          <w:szCs w:val="22"/>
        </w:rPr>
      </w:pPr>
    </w:p>
    <w:p w14:paraId="0A819DBB"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38F9818" w14:textId="77777777" w:rsidR="00683C17" w:rsidRPr="00714CEF" w:rsidRDefault="00683C17" w:rsidP="00683C17">
      <w:pPr>
        <w:spacing w:line="276" w:lineRule="auto"/>
        <w:jc w:val="both"/>
        <w:outlineLvl w:val="2"/>
        <w:rPr>
          <w:rFonts w:ascii="Arial" w:hAnsi="Arial" w:cs="Arial"/>
          <w:sz w:val="22"/>
          <w:szCs w:val="22"/>
        </w:rPr>
      </w:pPr>
    </w:p>
    <w:p w14:paraId="37685B01" w14:textId="65D57BEA" w:rsidR="00E32704" w:rsidRDefault="00714CEF" w:rsidP="00714CEF">
      <w:pPr>
        <w:spacing w:line="276" w:lineRule="auto"/>
        <w:jc w:val="both"/>
        <w:outlineLvl w:val="2"/>
        <w:rPr>
          <w:rFonts w:ascii="Arial" w:hAnsi="Arial" w:cs="Arial"/>
          <w:sz w:val="22"/>
          <w:szCs w:val="22"/>
        </w:rPr>
      </w:pPr>
      <w:r w:rsidRPr="00714CEF">
        <w:rPr>
          <w:rFonts w:ascii="Arial" w:hAnsi="Arial" w:cs="Arial"/>
          <w:sz w:val="22"/>
          <w:szCs w:val="22"/>
        </w:rPr>
        <w:t xml:space="preserve">The proposal seeks to replace all existing softwood windows with uPVC framed units.  This </w:t>
      </w:r>
      <w:proofErr w:type="gramStart"/>
      <w:r w:rsidRPr="00714CEF">
        <w:rPr>
          <w:rFonts w:ascii="Arial" w:hAnsi="Arial" w:cs="Arial"/>
          <w:sz w:val="22"/>
          <w:szCs w:val="22"/>
        </w:rPr>
        <w:t>includes</w:t>
      </w:r>
      <w:r w:rsidR="00B944FE">
        <w:rPr>
          <w:rFonts w:ascii="Arial" w:hAnsi="Arial" w:cs="Arial"/>
          <w:sz w:val="22"/>
          <w:szCs w:val="22"/>
        </w:rPr>
        <w:t>:</w:t>
      </w:r>
      <w:proofErr w:type="gramEnd"/>
      <w:r w:rsidRPr="00714CEF">
        <w:rPr>
          <w:rFonts w:ascii="Arial" w:hAnsi="Arial" w:cs="Arial"/>
          <w:sz w:val="22"/>
          <w:szCs w:val="22"/>
        </w:rPr>
        <w:t xml:space="preserve"> Ground Floor: </w:t>
      </w:r>
      <w:r w:rsidR="00D33471">
        <w:rPr>
          <w:rFonts w:ascii="Arial" w:hAnsi="Arial" w:cs="Arial"/>
          <w:sz w:val="22"/>
          <w:szCs w:val="22"/>
        </w:rPr>
        <w:t>f</w:t>
      </w:r>
      <w:r w:rsidRPr="00714CEF">
        <w:rPr>
          <w:rFonts w:ascii="Arial" w:hAnsi="Arial" w:cs="Arial"/>
          <w:sz w:val="22"/>
          <w:szCs w:val="22"/>
        </w:rPr>
        <w:t xml:space="preserve">lat Nos. </w:t>
      </w:r>
      <w:r w:rsidR="00B944FE">
        <w:rPr>
          <w:rFonts w:ascii="Arial" w:hAnsi="Arial" w:cs="Arial"/>
          <w:sz w:val="22"/>
          <w:szCs w:val="22"/>
        </w:rPr>
        <w:t>1 to 14 inclusive.  First floor Nos. 22 to 31 and 33 to 36.  Second floor flat</w:t>
      </w:r>
      <w:r w:rsidR="00D33471">
        <w:rPr>
          <w:rFonts w:ascii="Arial" w:hAnsi="Arial" w:cs="Arial"/>
          <w:sz w:val="22"/>
          <w:szCs w:val="22"/>
        </w:rPr>
        <w:t>,</w:t>
      </w:r>
      <w:r w:rsidR="00B944FE">
        <w:rPr>
          <w:rFonts w:ascii="Arial" w:hAnsi="Arial" w:cs="Arial"/>
          <w:sz w:val="22"/>
          <w:szCs w:val="22"/>
        </w:rPr>
        <w:t xml:space="preserve"> Nos. 44 to 46.  All Ground floor and first floor communal areas. </w:t>
      </w:r>
    </w:p>
    <w:p w14:paraId="3CA9DA5E" w14:textId="77777777" w:rsidR="004F6854" w:rsidRDefault="004F6854" w:rsidP="00683C17">
      <w:pPr>
        <w:spacing w:line="276" w:lineRule="auto"/>
        <w:jc w:val="both"/>
        <w:outlineLvl w:val="2"/>
        <w:rPr>
          <w:rFonts w:ascii="Arial" w:hAnsi="Arial" w:cs="Arial"/>
          <w:b/>
          <w:bCs/>
          <w:sz w:val="22"/>
          <w:szCs w:val="22"/>
        </w:rPr>
      </w:pPr>
    </w:p>
    <w:p w14:paraId="207EBBB0" w14:textId="77777777" w:rsidR="004F6854" w:rsidRDefault="004F6854" w:rsidP="00683C17">
      <w:pPr>
        <w:spacing w:line="276" w:lineRule="auto"/>
        <w:jc w:val="both"/>
        <w:outlineLvl w:val="2"/>
        <w:rPr>
          <w:rFonts w:ascii="Arial" w:hAnsi="Arial" w:cs="Arial"/>
          <w:b/>
          <w:bCs/>
          <w:sz w:val="22"/>
          <w:szCs w:val="22"/>
        </w:rPr>
      </w:pPr>
    </w:p>
    <w:p w14:paraId="26CA961B"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44ED44ED"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C3265" w:rsidRPr="003E74F7" w14:paraId="30DDC10A" w14:textId="77777777" w:rsidTr="00AB055D">
        <w:trPr>
          <w:trHeight w:hRule="exact" w:val="20"/>
        </w:trPr>
        <w:tc>
          <w:tcPr>
            <w:tcW w:w="8921" w:type="dxa"/>
            <w:tcBorders>
              <w:bottom w:val="single" w:sz="6" w:space="0" w:color="auto"/>
            </w:tcBorders>
            <w:vAlign w:val="center"/>
            <w:hideMark/>
          </w:tcPr>
          <w:p w14:paraId="5D7A1E00" w14:textId="77777777" w:rsidR="004C3265" w:rsidRPr="00D6500C" w:rsidRDefault="004C3265" w:rsidP="00AB055D">
            <w:pPr>
              <w:rPr>
                <w:rFonts w:ascii="Arial" w:hAnsi="Arial" w:cs="Arial"/>
                <w:sz w:val="22"/>
                <w:szCs w:val="22"/>
              </w:rPr>
            </w:pPr>
            <w:bookmarkStart w:id="0" w:name="_bc9eaa23_7b84_4e11_8860_67eb8bbe0c9e"/>
          </w:p>
        </w:tc>
      </w:tr>
      <w:tr w:rsidR="004C3265" w:rsidRPr="003E74F7" w14:paraId="236185EF" w14:textId="77777777" w:rsidTr="00AB055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6436AB5" w14:textId="77777777" w:rsidR="004C3265" w:rsidRPr="00D6500C" w:rsidRDefault="004C3265" w:rsidP="00AB055D">
            <w:pPr>
              <w:rPr>
                <w:rFonts w:ascii="Arial" w:hAnsi="Arial" w:cs="Arial"/>
                <w:b/>
                <w:bCs/>
                <w:sz w:val="22"/>
                <w:szCs w:val="22"/>
              </w:rPr>
            </w:pPr>
            <w:r w:rsidRPr="00D6500C">
              <w:rPr>
                <w:rFonts w:ascii="Arial" w:hAnsi="Arial" w:cs="Arial"/>
                <w:b/>
                <w:bCs/>
                <w:sz w:val="22"/>
                <w:szCs w:val="22"/>
              </w:rPr>
              <w:t>Proposal / Summary</w:t>
            </w:r>
          </w:p>
        </w:tc>
      </w:tr>
      <w:tr w:rsidR="004C3265" w:rsidRPr="003E74F7" w14:paraId="739F2DA2" w14:textId="77777777" w:rsidTr="00AB055D">
        <w:tc>
          <w:tcPr>
            <w:tcW w:w="8921" w:type="dxa"/>
            <w:tcBorders>
              <w:left w:val="single" w:sz="12" w:space="0" w:color="auto"/>
              <w:bottom w:val="single" w:sz="12" w:space="0" w:color="auto"/>
              <w:right w:val="single" w:sz="12" w:space="0" w:color="auto"/>
            </w:tcBorders>
            <w:vAlign w:val="center"/>
          </w:tcPr>
          <w:p w14:paraId="16486D8B" w14:textId="77777777" w:rsidR="004C3265" w:rsidRPr="005131B9" w:rsidRDefault="004C3265" w:rsidP="00AB055D">
            <w:pPr>
              <w:rPr>
                <w:rFonts w:ascii="Arial" w:hAnsi="Arial" w:cs="Arial"/>
                <w:sz w:val="22"/>
                <w:szCs w:val="22"/>
              </w:rPr>
            </w:pPr>
            <w:r w:rsidRPr="005131B9">
              <w:rPr>
                <w:rFonts w:ascii="Arial" w:hAnsi="Arial" w:cs="Arial"/>
                <w:sz w:val="22"/>
                <w:szCs w:val="22"/>
              </w:rPr>
              <w:t>PL/2025/07220 - Full planning permission Decision - Approve with Conditions Date: 30/10/2025 – Replace all existing softwood windows with uPVC framed units. Ground Floor Flat No's 15 to 21 incl. First Floor No 32 and No's 37 to 43 incl, plus all Ground Floor and First Floor communal areas.</w:t>
            </w:r>
          </w:p>
        </w:tc>
      </w:tr>
      <w:tr w:rsidR="004C3265" w:rsidRPr="003E74F7" w14:paraId="42F1498B" w14:textId="77777777" w:rsidTr="00AB055D">
        <w:tc>
          <w:tcPr>
            <w:tcW w:w="8921" w:type="dxa"/>
            <w:tcBorders>
              <w:left w:val="single" w:sz="12" w:space="0" w:color="auto"/>
              <w:bottom w:val="single" w:sz="12" w:space="0" w:color="auto"/>
              <w:right w:val="single" w:sz="12" w:space="0" w:color="auto"/>
            </w:tcBorders>
            <w:vAlign w:val="center"/>
          </w:tcPr>
          <w:p w14:paraId="2334FD97" w14:textId="662D6BC3" w:rsidR="004C3265" w:rsidRPr="005131B9" w:rsidRDefault="004C3265" w:rsidP="00AB055D">
            <w:pPr>
              <w:rPr>
                <w:rFonts w:ascii="Arial" w:hAnsi="Arial" w:cs="Arial"/>
                <w:sz w:val="22"/>
                <w:szCs w:val="22"/>
              </w:rPr>
            </w:pPr>
            <w:r w:rsidRPr="005131B9">
              <w:rPr>
                <w:rFonts w:ascii="Arial" w:hAnsi="Arial" w:cs="Arial"/>
                <w:sz w:val="22"/>
                <w:szCs w:val="22"/>
              </w:rPr>
              <w:t>PL/2023/02466 - Full planning permission Decision - Approve with Conditions Date: 23/11/2023 – Replacement windows to four flats on the second floor from timber windows to triple glazed UPVC</w:t>
            </w:r>
          </w:p>
        </w:tc>
      </w:tr>
      <w:bookmarkEnd w:id="0"/>
    </w:tbl>
    <w:p w14:paraId="5C228AD8" w14:textId="77777777" w:rsidR="006F5FC1" w:rsidRPr="00F7609E" w:rsidRDefault="006F5FC1" w:rsidP="00683C17">
      <w:pPr>
        <w:spacing w:line="276" w:lineRule="auto"/>
        <w:jc w:val="both"/>
        <w:outlineLvl w:val="2"/>
        <w:rPr>
          <w:rFonts w:ascii="Arial" w:hAnsi="Arial" w:cs="Arial"/>
          <w:b/>
          <w:bCs/>
          <w:sz w:val="22"/>
          <w:szCs w:val="22"/>
        </w:rPr>
      </w:pPr>
    </w:p>
    <w:p w14:paraId="34355FEE" w14:textId="77777777" w:rsidR="00683C17" w:rsidRDefault="00683C17" w:rsidP="00683C17">
      <w:pPr>
        <w:spacing w:line="276" w:lineRule="auto"/>
        <w:jc w:val="both"/>
        <w:rPr>
          <w:rFonts w:ascii="Arial" w:hAnsi="Arial" w:cs="Arial"/>
          <w:color w:val="FF0000"/>
          <w:sz w:val="22"/>
          <w:szCs w:val="22"/>
        </w:rPr>
      </w:pPr>
    </w:p>
    <w:p w14:paraId="01B7EAF3" w14:textId="3C84F91E" w:rsidR="00E35059" w:rsidRDefault="00F7609E" w:rsidP="00237634">
      <w:pPr>
        <w:spacing w:line="276" w:lineRule="auto"/>
        <w:jc w:val="both"/>
        <w:rPr>
          <w:rFonts w:ascii="Arial" w:hAnsi="Arial" w:cs="Arial"/>
          <w:b/>
          <w:bCs/>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797AEC12" w14:textId="77777777" w:rsidR="005131B9" w:rsidRDefault="005131B9" w:rsidP="00237634">
      <w:pPr>
        <w:spacing w:line="276" w:lineRule="auto"/>
        <w:jc w:val="both"/>
        <w:rPr>
          <w:rFonts w:ascii="Arial" w:hAnsi="Arial" w:cs="Arial"/>
          <w:b/>
          <w:bCs/>
          <w:sz w:val="22"/>
          <w:szCs w:val="22"/>
        </w:rPr>
      </w:pPr>
    </w:p>
    <w:p w14:paraId="7ACEBF6F" w14:textId="7620EC50" w:rsidR="00237634"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476ECEC9" w14:textId="77777777" w:rsidR="00A656D4" w:rsidRPr="00A656D4" w:rsidRDefault="00A656D4" w:rsidP="00A656D4">
      <w:pPr>
        <w:kinsoku w:val="0"/>
        <w:overflowPunct w:val="0"/>
        <w:autoSpaceDE w:val="0"/>
        <w:autoSpaceDN w:val="0"/>
        <w:adjustRightInd w:val="0"/>
        <w:ind w:right="-45"/>
        <w:rPr>
          <w:rFonts w:ascii="Arial" w:hAnsi="Arial" w:cs="Arial"/>
          <w:sz w:val="22"/>
          <w:szCs w:val="22"/>
        </w:rPr>
      </w:pPr>
      <w:r w:rsidRPr="00A656D4">
        <w:rPr>
          <w:rFonts w:ascii="Arial" w:hAnsi="Arial" w:cs="Arial"/>
          <w:sz w:val="22"/>
          <w:szCs w:val="22"/>
        </w:rPr>
        <w:t>Sections 16 and 66 of the Planning (Listed Building and Conservation Areas) Act 1990</w:t>
      </w:r>
    </w:p>
    <w:p w14:paraId="00FFCA38" w14:textId="77777777" w:rsidR="00A656D4" w:rsidRPr="00A656D4" w:rsidRDefault="00A656D4" w:rsidP="00A656D4">
      <w:pPr>
        <w:kinsoku w:val="0"/>
        <w:overflowPunct w:val="0"/>
        <w:autoSpaceDE w:val="0"/>
        <w:autoSpaceDN w:val="0"/>
        <w:adjustRightInd w:val="0"/>
        <w:ind w:right="-45"/>
        <w:rPr>
          <w:rFonts w:ascii="Arial" w:hAnsi="Arial" w:cs="Arial"/>
          <w:sz w:val="22"/>
          <w:szCs w:val="22"/>
        </w:rPr>
      </w:pPr>
      <w:r w:rsidRPr="00A656D4">
        <w:rPr>
          <w:rFonts w:ascii="Arial" w:hAnsi="Arial" w:cs="Arial"/>
          <w:sz w:val="22"/>
          <w:szCs w:val="22"/>
        </w:rPr>
        <w:t>Section 72(1) of the Planning (Listed Building and Conservation Areas) Act 1990</w:t>
      </w:r>
    </w:p>
    <w:p w14:paraId="1064AB50" w14:textId="77777777" w:rsidR="000666EE" w:rsidRDefault="000666EE" w:rsidP="00237634">
      <w:pPr>
        <w:spacing w:line="276" w:lineRule="auto"/>
        <w:jc w:val="both"/>
        <w:rPr>
          <w:rFonts w:ascii="Arial" w:hAnsi="Arial" w:cs="Arial"/>
          <w:sz w:val="22"/>
          <w:szCs w:val="22"/>
          <w:u w:val="single"/>
        </w:rPr>
      </w:pPr>
    </w:p>
    <w:p w14:paraId="62842B64" w14:textId="77777777" w:rsidR="00A656D4" w:rsidRDefault="00A656D4" w:rsidP="00237634">
      <w:pPr>
        <w:spacing w:line="276" w:lineRule="auto"/>
        <w:jc w:val="both"/>
        <w:rPr>
          <w:rFonts w:ascii="Arial" w:hAnsi="Arial" w:cs="Arial"/>
          <w:b/>
          <w:bCs/>
          <w:sz w:val="22"/>
          <w:szCs w:val="22"/>
        </w:rPr>
      </w:pPr>
    </w:p>
    <w:p w14:paraId="6893075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6B8C7EAC"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07E47AEF"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634CCC68"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144AAAB8"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0F840EC4"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8373856" w14:textId="77777777" w:rsidR="00533E0C" w:rsidRPr="004B1608" w:rsidRDefault="00533E0C" w:rsidP="00533E0C">
      <w:pPr>
        <w:spacing w:line="276" w:lineRule="auto"/>
        <w:jc w:val="both"/>
        <w:rPr>
          <w:rFonts w:ascii="Arial" w:hAnsi="Arial" w:cs="Arial"/>
          <w:sz w:val="22"/>
          <w:szCs w:val="22"/>
        </w:rPr>
      </w:pPr>
    </w:p>
    <w:p w14:paraId="597931DA"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197A66A4" w14:textId="77777777" w:rsidR="00533E0C" w:rsidRDefault="00533E0C" w:rsidP="00533E0C">
      <w:pPr>
        <w:spacing w:line="276" w:lineRule="auto"/>
        <w:jc w:val="both"/>
        <w:rPr>
          <w:rFonts w:ascii="Arial" w:hAnsi="Arial" w:cs="Arial"/>
          <w:b/>
          <w:bCs/>
          <w:sz w:val="22"/>
          <w:szCs w:val="22"/>
        </w:rPr>
      </w:pPr>
    </w:p>
    <w:p w14:paraId="07C07161"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7CCA5ADF" w14:textId="77777777" w:rsidR="00533E0C" w:rsidRPr="00D902FA" w:rsidRDefault="00533E0C" w:rsidP="00533E0C">
      <w:pPr>
        <w:spacing w:line="276" w:lineRule="auto"/>
        <w:jc w:val="both"/>
        <w:rPr>
          <w:rFonts w:ascii="Arial" w:hAnsi="Arial" w:cs="Arial"/>
          <w:sz w:val="22"/>
          <w:szCs w:val="22"/>
        </w:rPr>
      </w:pPr>
    </w:p>
    <w:p w14:paraId="4DA747E6"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257E1C3F"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1C194F42" w14:textId="77777777" w:rsidR="00533E0C" w:rsidRDefault="00533E0C" w:rsidP="00533E0C">
      <w:pPr>
        <w:spacing w:line="276" w:lineRule="auto"/>
        <w:jc w:val="both"/>
        <w:rPr>
          <w:rFonts w:ascii="Arial" w:hAnsi="Arial" w:cs="Arial"/>
          <w:color w:val="FF0000"/>
          <w:sz w:val="22"/>
          <w:szCs w:val="22"/>
        </w:rPr>
      </w:pPr>
    </w:p>
    <w:p w14:paraId="12025133" w14:textId="1F5D4876" w:rsidR="00CF2835" w:rsidRDefault="001A62B4" w:rsidP="00CF2835">
      <w:pPr>
        <w:spacing w:line="276" w:lineRule="auto"/>
        <w:jc w:val="both"/>
        <w:rPr>
          <w:rFonts w:ascii="Arial" w:hAnsi="Arial" w:cs="Arial"/>
          <w:b/>
          <w:bCs/>
          <w:color w:val="000000" w:themeColor="text1"/>
          <w:sz w:val="22"/>
          <w:szCs w:val="22"/>
        </w:rPr>
      </w:pPr>
      <w:r>
        <w:rPr>
          <w:rFonts w:ascii="Arial" w:hAnsi="Arial" w:cs="Arial"/>
          <w:color w:val="000000" w:themeColor="text1"/>
          <w:sz w:val="22"/>
          <w:szCs w:val="22"/>
          <w:u w:val="single"/>
        </w:rPr>
        <w:t>Emerging</w:t>
      </w:r>
      <w:r w:rsidR="00CF2835" w:rsidRPr="00CF2835">
        <w:rPr>
          <w:rFonts w:ascii="Arial" w:hAnsi="Arial" w:cs="Arial"/>
          <w:color w:val="000000" w:themeColor="text1"/>
          <w:sz w:val="22"/>
          <w:szCs w:val="22"/>
          <w:u w:val="single"/>
        </w:rPr>
        <w:t xml:space="preserve"> Wiltshire Local Plan Policies</w:t>
      </w:r>
      <w:r w:rsidR="00CF2835" w:rsidRPr="00CF2835">
        <w:rPr>
          <w:rFonts w:ascii="Arial" w:hAnsi="Arial" w:cs="Arial"/>
          <w:b/>
          <w:bCs/>
          <w:color w:val="000000" w:themeColor="text1"/>
          <w:sz w:val="22"/>
          <w:szCs w:val="22"/>
        </w:rPr>
        <w:t xml:space="preserve"> </w:t>
      </w:r>
    </w:p>
    <w:p w14:paraId="6CCBC14C" w14:textId="77777777" w:rsidR="00DB6E79" w:rsidRPr="00DB6E79" w:rsidRDefault="00DB6E79" w:rsidP="00DB6E79">
      <w:pPr>
        <w:jc w:val="both"/>
        <w:rPr>
          <w:rFonts w:ascii="Arial" w:hAnsi="Arial" w:cs="Arial"/>
          <w:sz w:val="22"/>
          <w:szCs w:val="22"/>
        </w:rPr>
      </w:pPr>
      <w:r w:rsidRPr="00DB6E79">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7DF1CA2B" w14:textId="77777777" w:rsidR="00157709" w:rsidRPr="00CF2835" w:rsidRDefault="00157709" w:rsidP="00CF2835">
      <w:pPr>
        <w:spacing w:line="276" w:lineRule="auto"/>
        <w:jc w:val="both"/>
        <w:rPr>
          <w:rFonts w:ascii="Arial" w:hAnsi="Arial" w:cs="Arial"/>
          <w:b/>
          <w:bCs/>
          <w:color w:val="000000" w:themeColor="text1"/>
          <w:sz w:val="22"/>
          <w:szCs w:val="22"/>
        </w:rPr>
      </w:pPr>
    </w:p>
    <w:p w14:paraId="25B7B774" w14:textId="77777777" w:rsidR="00D101B5" w:rsidRDefault="00D101B5" w:rsidP="00D101B5">
      <w:pPr>
        <w:spacing w:line="276" w:lineRule="auto"/>
        <w:jc w:val="both"/>
        <w:rPr>
          <w:rFonts w:ascii="Arial" w:hAnsi="Arial" w:cs="Arial"/>
          <w:b/>
          <w:bCs/>
          <w:sz w:val="22"/>
          <w:szCs w:val="22"/>
        </w:rPr>
      </w:pPr>
    </w:p>
    <w:p w14:paraId="1405A094"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36EE1386" w14:textId="2223599D" w:rsidR="00533E0C" w:rsidRPr="00575A8D" w:rsidRDefault="00575A8D" w:rsidP="00533E0C">
      <w:pPr>
        <w:spacing w:line="276" w:lineRule="auto"/>
        <w:jc w:val="both"/>
        <w:rPr>
          <w:rFonts w:ascii="Arial" w:hAnsi="Arial" w:cs="Arial"/>
          <w:sz w:val="22"/>
          <w:szCs w:val="22"/>
        </w:rPr>
      </w:pPr>
      <w:r w:rsidRPr="00575A8D">
        <w:rPr>
          <w:rFonts w:ascii="Arial" w:hAnsi="Arial" w:cs="Arial"/>
          <w:sz w:val="22"/>
          <w:szCs w:val="22"/>
        </w:rPr>
        <w:t>Devizes Area Neighbourhood Plan July 2015 Referendum Version</w:t>
      </w:r>
    </w:p>
    <w:p w14:paraId="6F9855DB" w14:textId="77777777" w:rsidR="00575A8D" w:rsidRPr="00575A8D" w:rsidRDefault="00575A8D" w:rsidP="00533E0C">
      <w:pPr>
        <w:spacing w:line="276" w:lineRule="auto"/>
        <w:jc w:val="both"/>
        <w:rPr>
          <w:rFonts w:ascii="Arial" w:hAnsi="Arial" w:cs="Arial"/>
          <w:sz w:val="22"/>
          <w:szCs w:val="22"/>
        </w:rPr>
      </w:pPr>
    </w:p>
    <w:p w14:paraId="45597562" w14:textId="77777777" w:rsidR="00575A8D" w:rsidRDefault="00575A8D" w:rsidP="00533E0C">
      <w:pPr>
        <w:spacing w:line="276" w:lineRule="auto"/>
        <w:jc w:val="both"/>
        <w:rPr>
          <w:rFonts w:ascii="Arial" w:hAnsi="Arial" w:cs="Arial"/>
          <w:b/>
          <w:bCs/>
          <w:sz w:val="22"/>
          <w:szCs w:val="22"/>
        </w:rPr>
      </w:pPr>
    </w:p>
    <w:p w14:paraId="224E27D9" w14:textId="77777777" w:rsidR="00575A8D" w:rsidRDefault="00533E0C" w:rsidP="00575A8D">
      <w:pPr>
        <w:spacing w:line="276" w:lineRule="auto"/>
        <w:jc w:val="both"/>
        <w:rPr>
          <w:rFonts w:ascii="Arial" w:hAnsi="Arial" w:cs="Arial"/>
          <w:color w:val="EE0000"/>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6BFD39DF" w14:textId="442A355E" w:rsidR="00533E0C" w:rsidRDefault="00533E0C" w:rsidP="00575A8D">
      <w:pPr>
        <w:spacing w:line="276" w:lineRule="auto"/>
        <w:jc w:val="both"/>
        <w:rPr>
          <w:rFonts w:ascii="Arial" w:hAnsi="Arial" w:cs="Arial"/>
          <w:sz w:val="22"/>
          <w:szCs w:val="22"/>
        </w:rPr>
      </w:pPr>
      <w:r w:rsidRPr="008C5404">
        <w:rPr>
          <w:rFonts w:ascii="Arial" w:hAnsi="Arial" w:cs="Arial"/>
          <w:sz w:val="22"/>
          <w:szCs w:val="22"/>
        </w:rPr>
        <w:t>Wiltshire Design Guide (adopted April 2024)</w:t>
      </w:r>
    </w:p>
    <w:p w14:paraId="55A9E440" w14:textId="77777777" w:rsidR="00130BE7" w:rsidRDefault="00130BE7" w:rsidP="00067BEE">
      <w:pPr>
        <w:spacing w:line="276" w:lineRule="auto"/>
        <w:jc w:val="both"/>
        <w:rPr>
          <w:rFonts w:ascii="Arial" w:hAnsi="Arial" w:cs="Arial"/>
          <w:b/>
          <w:bCs/>
          <w:sz w:val="22"/>
          <w:szCs w:val="22"/>
        </w:rPr>
      </w:pPr>
    </w:p>
    <w:p w14:paraId="13E04795" w14:textId="77777777" w:rsidR="00130BE7" w:rsidRDefault="00130BE7" w:rsidP="00067BEE">
      <w:pPr>
        <w:spacing w:line="276" w:lineRule="auto"/>
        <w:jc w:val="both"/>
        <w:rPr>
          <w:rFonts w:ascii="Arial" w:hAnsi="Arial" w:cs="Arial"/>
          <w:b/>
          <w:bCs/>
          <w:sz w:val="22"/>
          <w:szCs w:val="22"/>
        </w:rPr>
      </w:pPr>
    </w:p>
    <w:p w14:paraId="0BB0B269" w14:textId="1E26CBB7"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14B91DE5" w14:textId="77777777" w:rsidR="00D902FA" w:rsidRDefault="00D902FA" w:rsidP="00D902FA">
      <w:pPr>
        <w:spacing w:line="276" w:lineRule="auto"/>
        <w:jc w:val="both"/>
        <w:rPr>
          <w:rFonts w:ascii="Arial" w:hAnsi="Arial" w:cs="Arial"/>
          <w:b/>
          <w:bCs/>
          <w:sz w:val="22"/>
          <w:szCs w:val="22"/>
        </w:rPr>
      </w:pPr>
    </w:p>
    <w:p w14:paraId="1CBC9311"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0962A17C" w14:textId="77777777" w:rsidR="00067BEE" w:rsidRPr="00F10E9B" w:rsidRDefault="00067BEE" w:rsidP="00067BEE">
      <w:pPr>
        <w:spacing w:line="276" w:lineRule="auto"/>
        <w:jc w:val="both"/>
        <w:rPr>
          <w:rFonts w:ascii="Arial" w:hAnsi="Arial" w:cs="Arial"/>
          <w:sz w:val="22"/>
          <w:szCs w:val="22"/>
        </w:rPr>
      </w:pPr>
    </w:p>
    <w:p w14:paraId="636056DE" w14:textId="77777777" w:rsidR="00067BEE"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01F18195" w14:textId="77777777" w:rsidR="00B0100C" w:rsidRPr="004817FB" w:rsidRDefault="00B0100C" w:rsidP="007F0006">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2904D911"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00303867" w14:textId="77777777" w:rsidR="00067BEE" w:rsidRDefault="00067BEE" w:rsidP="00067BEE">
      <w:pPr>
        <w:spacing w:line="276" w:lineRule="auto"/>
        <w:jc w:val="both"/>
        <w:rPr>
          <w:rFonts w:ascii="Arial" w:hAnsi="Arial" w:cs="Arial"/>
          <w:sz w:val="22"/>
          <w:szCs w:val="22"/>
        </w:rPr>
      </w:pPr>
    </w:p>
    <w:p w14:paraId="54F079D8" w14:textId="77777777" w:rsidR="00D902FA" w:rsidRDefault="00D902FA" w:rsidP="00D902FA">
      <w:pPr>
        <w:spacing w:line="276" w:lineRule="auto"/>
        <w:jc w:val="both"/>
        <w:rPr>
          <w:rFonts w:ascii="Arial" w:hAnsi="Arial" w:cs="Arial"/>
          <w:b/>
          <w:bCs/>
          <w:color w:val="FF0000"/>
          <w:sz w:val="22"/>
          <w:szCs w:val="22"/>
        </w:rPr>
      </w:pPr>
    </w:p>
    <w:p w14:paraId="287F36AD" w14:textId="0DC8CC64"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3011D315" w14:textId="77777777" w:rsidR="000E62BA" w:rsidRDefault="000E62BA" w:rsidP="00D075F2">
      <w:pPr>
        <w:spacing w:line="276" w:lineRule="auto"/>
        <w:jc w:val="both"/>
        <w:rPr>
          <w:rFonts w:ascii="Arial" w:hAnsi="Arial" w:cs="Arial"/>
          <w:sz w:val="22"/>
          <w:szCs w:val="22"/>
        </w:rPr>
      </w:pPr>
      <w:bookmarkStart w:id="1" w:name="_Hlk206417654"/>
    </w:p>
    <w:p w14:paraId="36DB90D1" w14:textId="29BFB52E" w:rsidR="00765EEE" w:rsidRPr="00C049E8" w:rsidRDefault="00765EEE" w:rsidP="00D075F2">
      <w:pPr>
        <w:spacing w:line="276" w:lineRule="auto"/>
        <w:jc w:val="both"/>
        <w:rPr>
          <w:rFonts w:ascii="Arial" w:hAnsi="Arial" w:cs="Arial"/>
          <w:sz w:val="22"/>
          <w:szCs w:val="22"/>
        </w:rPr>
      </w:pPr>
      <w:r w:rsidRPr="00D075F2">
        <w:rPr>
          <w:rFonts w:ascii="Arial" w:hAnsi="Arial" w:cs="Arial"/>
          <w:color w:val="000000" w:themeColor="text1"/>
          <w:sz w:val="22"/>
          <w:szCs w:val="22"/>
        </w:rPr>
        <w:t xml:space="preserve">WC Conservation: </w:t>
      </w:r>
      <w:bookmarkEnd w:id="1"/>
      <w:r w:rsidR="00BE6683" w:rsidRPr="00C049E8">
        <w:rPr>
          <w:rFonts w:ascii="Arial" w:hAnsi="Arial" w:cs="Arial"/>
          <w:sz w:val="22"/>
          <w:szCs w:val="22"/>
        </w:rPr>
        <w:t xml:space="preserve">No </w:t>
      </w:r>
      <w:r w:rsidR="00C049E8" w:rsidRPr="00C049E8">
        <w:rPr>
          <w:rFonts w:ascii="Arial" w:hAnsi="Arial" w:cs="Arial"/>
          <w:sz w:val="22"/>
          <w:szCs w:val="22"/>
        </w:rPr>
        <w:t xml:space="preserve">objections. </w:t>
      </w:r>
    </w:p>
    <w:p w14:paraId="49DF65FC" w14:textId="77777777" w:rsidR="00D075F2" w:rsidRDefault="00D075F2" w:rsidP="00D075F2">
      <w:pPr>
        <w:spacing w:line="276" w:lineRule="auto"/>
        <w:jc w:val="both"/>
        <w:rPr>
          <w:rFonts w:ascii="Arial" w:hAnsi="Arial" w:cs="Arial"/>
          <w:sz w:val="22"/>
          <w:szCs w:val="22"/>
        </w:rPr>
      </w:pPr>
    </w:p>
    <w:p w14:paraId="2D60CA00" w14:textId="21E42EAD" w:rsidR="00D902FA" w:rsidRPr="008231F6" w:rsidRDefault="00847997" w:rsidP="00D075F2">
      <w:pPr>
        <w:spacing w:line="276" w:lineRule="auto"/>
        <w:jc w:val="both"/>
        <w:rPr>
          <w:rFonts w:ascii="Arial" w:hAnsi="Arial" w:cs="Arial"/>
          <w:sz w:val="22"/>
          <w:szCs w:val="22"/>
        </w:rPr>
      </w:pPr>
      <w:r>
        <w:rPr>
          <w:rFonts w:ascii="Arial" w:hAnsi="Arial" w:cs="Arial"/>
          <w:sz w:val="22"/>
          <w:szCs w:val="22"/>
        </w:rPr>
        <w:t xml:space="preserve">Devizes </w:t>
      </w:r>
      <w:r w:rsidR="00F7609E" w:rsidRPr="000E62BA">
        <w:rPr>
          <w:rFonts w:ascii="Arial" w:hAnsi="Arial" w:cs="Arial"/>
          <w:sz w:val="22"/>
          <w:szCs w:val="22"/>
        </w:rPr>
        <w:t>Town Council:</w:t>
      </w:r>
      <w:r w:rsidR="002927C8">
        <w:rPr>
          <w:rFonts w:ascii="Arial" w:hAnsi="Arial" w:cs="Arial"/>
          <w:sz w:val="22"/>
          <w:szCs w:val="22"/>
        </w:rPr>
        <w:t xml:space="preserve"> </w:t>
      </w:r>
      <w:r w:rsidR="002927C8" w:rsidRPr="008231F6">
        <w:rPr>
          <w:rFonts w:ascii="Arial" w:hAnsi="Arial" w:cs="Arial"/>
          <w:sz w:val="22"/>
          <w:szCs w:val="22"/>
        </w:rPr>
        <w:t xml:space="preserve">No </w:t>
      </w:r>
      <w:r w:rsidR="008231F6" w:rsidRPr="008231F6">
        <w:rPr>
          <w:rFonts w:ascii="Arial" w:hAnsi="Arial" w:cs="Arial"/>
          <w:sz w:val="22"/>
          <w:szCs w:val="22"/>
        </w:rPr>
        <w:t>objections.</w:t>
      </w:r>
    </w:p>
    <w:p w14:paraId="17DAA0F5" w14:textId="77777777" w:rsidR="00D902FA" w:rsidRDefault="00D902FA" w:rsidP="00D075F2">
      <w:pPr>
        <w:spacing w:line="276" w:lineRule="auto"/>
        <w:jc w:val="both"/>
        <w:rPr>
          <w:rFonts w:ascii="Arial" w:hAnsi="Arial" w:cs="Arial"/>
          <w:i/>
          <w:iCs/>
          <w:color w:val="FF0000"/>
          <w:sz w:val="22"/>
          <w:szCs w:val="22"/>
        </w:rPr>
      </w:pPr>
    </w:p>
    <w:p w14:paraId="192117F1" w14:textId="77777777" w:rsidR="000C3DBC" w:rsidRDefault="005277E3" w:rsidP="00D075F2">
      <w:pPr>
        <w:spacing w:line="276" w:lineRule="auto"/>
        <w:jc w:val="both"/>
      </w:pPr>
      <w:r>
        <w:rPr>
          <w:rFonts w:ascii="Arial" w:hAnsi="Arial" w:cs="Arial"/>
          <w:sz w:val="22"/>
          <w:szCs w:val="22"/>
        </w:rPr>
        <w:t xml:space="preserve">Trust for Devizes: Object.  </w:t>
      </w:r>
      <w:r w:rsidR="000C3DBC" w:rsidRPr="000C3DBC">
        <w:rPr>
          <w:rStyle w:val="test-idfield-value"/>
          <w:rFonts w:ascii="Arial" w:eastAsiaTheme="majorEastAsia" w:hAnsi="Arial" w:cs="Arial"/>
          <w:color w:val="181818"/>
          <w:sz w:val="22"/>
          <w:szCs w:val="22"/>
        </w:rPr>
        <w:t>This phase of window replacement includes the facades facing Church Walk and Brickley Lane, inside the Conservation Area. All windows in those facades appear to be replaced with uPVC units. This appears to us to conflict with the statutory objective to conserve &amp; enhance the character &amp; appearance of this part of the CA. The Church Walk facade faces St James Church.</w:t>
      </w:r>
    </w:p>
    <w:p w14:paraId="3C3527CF" w14:textId="25A029A1" w:rsidR="008231F6" w:rsidRPr="008231F6" w:rsidRDefault="008231F6" w:rsidP="00D075F2">
      <w:pPr>
        <w:spacing w:line="276" w:lineRule="auto"/>
        <w:jc w:val="both"/>
        <w:rPr>
          <w:rFonts w:ascii="Arial" w:hAnsi="Arial" w:cs="Arial"/>
          <w:sz w:val="22"/>
          <w:szCs w:val="22"/>
        </w:rPr>
      </w:pPr>
    </w:p>
    <w:p w14:paraId="17A7E9F1" w14:textId="77777777" w:rsidR="008231F6" w:rsidRDefault="008231F6" w:rsidP="00D902FA">
      <w:pPr>
        <w:spacing w:line="276" w:lineRule="auto"/>
        <w:jc w:val="both"/>
        <w:rPr>
          <w:rFonts w:ascii="Arial" w:hAnsi="Arial" w:cs="Arial"/>
          <w:b/>
          <w:bCs/>
          <w:color w:val="FF0000"/>
          <w:sz w:val="22"/>
          <w:szCs w:val="22"/>
        </w:rPr>
      </w:pPr>
    </w:p>
    <w:p w14:paraId="395D863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53F289BA"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1A9A82AF" w14:textId="77777777" w:rsidR="00D902FA" w:rsidRDefault="5CD3423D" w:rsidP="3656A09E">
      <w:pPr>
        <w:spacing w:line="276" w:lineRule="auto"/>
        <w:jc w:val="both"/>
      </w:pPr>
      <w:r w:rsidRPr="3656A09E">
        <w:rPr>
          <w:rFonts w:ascii="Arial" w:eastAsia="Arial" w:hAnsi="Arial" w:cs="Arial"/>
          <w:sz w:val="22"/>
          <w:szCs w:val="22"/>
        </w:rPr>
        <w:t xml:space="preserve"> </w:t>
      </w:r>
    </w:p>
    <w:p w14:paraId="34942C72"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7723B383" w14:textId="77777777" w:rsidR="00662DA8" w:rsidRDefault="00662DA8" w:rsidP="3656A09E">
      <w:pPr>
        <w:spacing w:line="276" w:lineRule="auto"/>
        <w:jc w:val="both"/>
        <w:rPr>
          <w:rFonts w:ascii="Arial" w:eastAsia="Arial" w:hAnsi="Arial" w:cs="Arial"/>
          <w:sz w:val="22"/>
          <w:szCs w:val="22"/>
        </w:rPr>
      </w:pPr>
    </w:p>
    <w:p w14:paraId="265AFDE1" w14:textId="2EDD3414"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0BCA794F" w14:textId="77777777" w:rsidR="00D902FA" w:rsidRPr="004817FB" w:rsidRDefault="00D902FA" w:rsidP="3656A09E">
      <w:pPr>
        <w:spacing w:line="276" w:lineRule="auto"/>
        <w:jc w:val="both"/>
      </w:pPr>
    </w:p>
    <w:p w14:paraId="52E1C6B8" w14:textId="77777777" w:rsidR="00662DA8" w:rsidRDefault="00662DA8" w:rsidP="0007377C">
      <w:pPr>
        <w:spacing w:line="276" w:lineRule="auto"/>
        <w:jc w:val="both"/>
        <w:rPr>
          <w:rFonts w:ascii="Arial" w:eastAsia="Arial" w:hAnsi="Arial" w:cs="Arial"/>
          <w:sz w:val="22"/>
          <w:szCs w:val="22"/>
        </w:rPr>
      </w:pPr>
    </w:p>
    <w:p w14:paraId="0FA1AE9D" w14:textId="3A916998"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48B48989"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0D3811" w14:textId="77777777" w:rsidR="0092586B" w:rsidRPr="0092586B" w:rsidRDefault="0092586B" w:rsidP="0092586B">
      <w:pPr>
        <w:spacing w:line="276" w:lineRule="auto"/>
        <w:jc w:val="both"/>
        <w:rPr>
          <w:rFonts w:ascii="Arial" w:hAnsi="Arial" w:cs="Arial"/>
          <w:color w:val="000000" w:themeColor="text1"/>
          <w:sz w:val="22"/>
          <w:szCs w:val="22"/>
        </w:rPr>
      </w:pPr>
    </w:p>
    <w:p w14:paraId="032CC237"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72369E1" w14:textId="77777777" w:rsidR="0092586B" w:rsidRPr="0092586B" w:rsidRDefault="0092586B" w:rsidP="0092586B">
      <w:pPr>
        <w:spacing w:line="276" w:lineRule="auto"/>
        <w:jc w:val="both"/>
        <w:rPr>
          <w:rFonts w:ascii="Arial" w:hAnsi="Arial" w:cs="Arial"/>
          <w:color w:val="000000" w:themeColor="text1"/>
          <w:sz w:val="22"/>
          <w:szCs w:val="22"/>
        </w:rPr>
      </w:pPr>
    </w:p>
    <w:p w14:paraId="54A1DBE5"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607DB409" w14:textId="77777777" w:rsidR="0007377C" w:rsidRDefault="0007377C" w:rsidP="0007377C">
      <w:pPr>
        <w:spacing w:line="276" w:lineRule="auto"/>
        <w:jc w:val="both"/>
        <w:rPr>
          <w:rFonts w:ascii="Arial" w:hAnsi="Arial" w:cs="Arial"/>
          <w:b/>
          <w:bCs/>
          <w:color w:val="FF0000"/>
          <w:sz w:val="22"/>
          <w:szCs w:val="22"/>
        </w:rPr>
      </w:pPr>
    </w:p>
    <w:p w14:paraId="7B59867E"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1B42E8B5"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70E622F2"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47D78AC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32F41803"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94A0082"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070257C4"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7FEDBA30" w14:textId="77777777" w:rsidR="00107D4F" w:rsidRDefault="00107D4F" w:rsidP="00107D4F">
      <w:pPr>
        <w:spacing w:line="276" w:lineRule="auto"/>
        <w:jc w:val="both"/>
        <w:rPr>
          <w:rFonts w:ascii="Arial" w:hAnsi="Arial" w:cs="Arial"/>
          <w:sz w:val="22"/>
          <w:szCs w:val="22"/>
        </w:rPr>
      </w:pPr>
    </w:p>
    <w:p w14:paraId="5E0CC849"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2B6C744F"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7AB6C1BA"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50330444"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50377CBE" w14:textId="77777777" w:rsidR="00107D4F" w:rsidRDefault="00107D4F" w:rsidP="00107D4F">
      <w:pPr>
        <w:spacing w:line="276" w:lineRule="auto"/>
        <w:jc w:val="both"/>
        <w:rPr>
          <w:rFonts w:ascii="Arial" w:hAnsi="Arial" w:cs="Arial"/>
          <w:sz w:val="22"/>
          <w:szCs w:val="22"/>
        </w:rPr>
      </w:pPr>
    </w:p>
    <w:p w14:paraId="7BB96F45" w14:textId="77777777" w:rsid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lastRenderedPageBreak/>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4402EAF6" w14:textId="77777777" w:rsidR="004F328C" w:rsidRDefault="004F328C" w:rsidP="00EA19AA">
      <w:pPr>
        <w:tabs>
          <w:tab w:val="num" w:pos="1440"/>
        </w:tabs>
        <w:spacing w:line="276" w:lineRule="auto"/>
        <w:jc w:val="both"/>
        <w:rPr>
          <w:rFonts w:ascii="Arial" w:hAnsi="Arial" w:cs="Arial"/>
          <w:sz w:val="22"/>
          <w:szCs w:val="22"/>
        </w:rPr>
      </w:pPr>
    </w:p>
    <w:p w14:paraId="6F13AED8" w14:textId="77777777" w:rsidR="004F328C" w:rsidRPr="004F328C" w:rsidRDefault="004F328C" w:rsidP="004F328C">
      <w:pPr>
        <w:spacing w:line="276" w:lineRule="auto"/>
        <w:jc w:val="both"/>
        <w:rPr>
          <w:rFonts w:ascii="Arial" w:hAnsi="Arial" w:cs="Arial"/>
          <w:color w:val="000000"/>
          <w:sz w:val="22"/>
          <w:szCs w:val="22"/>
        </w:rPr>
      </w:pPr>
      <w:r w:rsidRPr="004F328C">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7FC19EC7" w14:textId="77777777" w:rsidR="004F328C" w:rsidRPr="00D030B2" w:rsidRDefault="004F328C" w:rsidP="00EA19AA">
      <w:pPr>
        <w:tabs>
          <w:tab w:val="num" w:pos="1440"/>
        </w:tabs>
        <w:spacing w:line="276" w:lineRule="auto"/>
        <w:jc w:val="both"/>
        <w:rPr>
          <w:rFonts w:ascii="Arial" w:hAnsi="Arial" w:cs="Arial"/>
          <w:sz w:val="22"/>
          <w:szCs w:val="22"/>
        </w:rPr>
      </w:pPr>
    </w:p>
    <w:p w14:paraId="2908DCC6" w14:textId="77777777" w:rsidR="00B711B0" w:rsidRPr="00B711B0" w:rsidRDefault="00B711B0" w:rsidP="00B711B0">
      <w:pPr>
        <w:spacing w:line="276" w:lineRule="auto"/>
        <w:jc w:val="both"/>
        <w:rPr>
          <w:rFonts w:ascii="Arial" w:hAnsi="Arial" w:cs="Arial"/>
          <w:sz w:val="22"/>
          <w:szCs w:val="22"/>
        </w:rPr>
      </w:pPr>
      <w:r w:rsidRPr="00B711B0">
        <w:rPr>
          <w:rFonts w:ascii="Arial" w:hAnsi="Arial" w:cs="Arial"/>
          <w:sz w:val="22"/>
          <w:szCs w:val="22"/>
        </w:rPr>
        <w:t xml:space="preserve">From the point of view of the historic environment the main statutory tests are set out within the Planning (Listed Building and Conservation Areas) Act 1990. </w:t>
      </w:r>
    </w:p>
    <w:p w14:paraId="540A4E1A" w14:textId="77777777" w:rsidR="00B711B0" w:rsidRPr="00B711B0" w:rsidRDefault="00B711B0" w:rsidP="00B711B0">
      <w:pPr>
        <w:spacing w:line="276" w:lineRule="auto"/>
        <w:jc w:val="both"/>
        <w:rPr>
          <w:rFonts w:ascii="Arial" w:hAnsi="Arial" w:cs="Arial"/>
          <w:sz w:val="22"/>
          <w:szCs w:val="22"/>
        </w:rPr>
      </w:pPr>
    </w:p>
    <w:p w14:paraId="2A6321CD" w14:textId="77777777" w:rsidR="00B711B0" w:rsidRPr="00B711B0" w:rsidRDefault="00B711B0" w:rsidP="00B711B0">
      <w:pPr>
        <w:spacing w:line="276" w:lineRule="auto"/>
        <w:jc w:val="both"/>
        <w:rPr>
          <w:rFonts w:ascii="Arial" w:hAnsi="Arial" w:cs="Arial"/>
          <w:sz w:val="22"/>
          <w:szCs w:val="22"/>
        </w:rPr>
      </w:pPr>
      <w:r w:rsidRPr="00B711B0">
        <w:rPr>
          <w:rFonts w:ascii="Arial" w:hAnsi="Arial" w:cs="Arial"/>
          <w:sz w:val="22"/>
          <w:szCs w:val="22"/>
        </w:rPr>
        <w:t>Section 16 (Listed Building Consent)/Section 66 (Planning Permission) requires that special regard be given to the desirability of preserving listed buildings, their settings or any features of special architectural or historic interest which they possess.</w:t>
      </w:r>
    </w:p>
    <w:p w14:paraId="38146D98" w14:textId="77777777" w:rsidR="00B711B0" w:rsidRPr="00B711B0" w:rsidRDefault="00B711B0" w:rsidP="00B711B0">
      <w:pPr>
        <w:spacing w:line="276" w:lineRule="auto"/>
        <w:jc w:val="both"/>
        <w:rPr>
          <w:rFonts w:ascii="Arial" w:hAnsi="Arial" w:cs="Arial"/>
          <w:color w:val="FF0000"/>
          <w:sz w:val="22"/>
          <w:szCs w:val="22"/>
        </w:rPr>
      </w:pPr>
    </w:p>
    <w:p w14:paraId="02BD3BEF" w14:textId="77777777" w:rsidR="00B711B0" w:rsidRPr="00B711B0" w:rsidRDefault="00B711B0" w:rsidP="00B711B0">
      <w:pPr>
        <w:spacing w:line="276" w:lineRule="auto"/>
        <w:jc w:val="both"/>
        <w:rPr>
          <w:rFonts w:ascii="Arial" w:hAnsi="Arial" w:cs="Arial"/>
          <w:sz w:val="22"/>
          <w:szCs w:val="22"/>
        </w:rPr>
      </w:pPr>
      <w:r w:rsidRPr="00B711B0">
        <w:rPr>
          <w:rFonts w:ascii="Arial" w:hAnsi="Arial" w:cs="Arial"/>
          <w:sz w:val="22"/>
          <w:szCs w:val="22"/>
        </w:rPr>
        <w:t>Section 72(1) of the Act requires the Council to pay special attention to the desirability of preserving or enhancing the character or appearance of designated Conservation Areas.</w:t>
      </w:r>
    </w:p>
    <w:p w14:paraId="30B0FFE4" w14:textId="77777777" w:rsidR="00B711B0" w:rsidRPr="00B711B0" w:rsidRDefault="00B711B0" w:rsidP="00B711B0">
      <w:pPr>
        <w:spacing w:line="276" w:lineRule="auto"/>
        <w:jc w:val="both"/>
        <w:rPr>
          <w:rFonts w:ascii="Arial" w:hAnsi="Arial" w:cs="Arial"/>
          <w:color w:val="000000"/>
          <w:sz w:val="22"/>
          <w:szCs w:val="22"/>
        </w:rPr>
      </w:pPr>
      <w:r w:rsidRPr="00B711B0">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11558CEC" w14:textId="77777777" w:rsidR="00B711B0" w:rsidRPr="00B711B0" w:rsidRDefault="00B711B0" w:rsidP="00B711B0">
      <w:pPr>
        <w:spacing w:line="276" w:lineRule="auto"/>
        <w:jc w:val="both"/>
        <w:rPr>
          <w:rFonts w:ascii="Arial" w:hAnsi="Arial" w:cs="Arial"/>
          <w:color w:val="000000"/>
          <w:sz w:val="22"/>
          <w:szCs w:val="22"/>
        </w:rPr>
      </w:pPr>
    </w:p>
    <w:p w14:paraId="1A0C01F8" w14:textId="77777777" w:rsidR="00B711B0" w:rsidRPr="00B711B0" w:rsidRDefault="00B711B0" w:rsidP="00B711B0">
      <w:pPr>
        <w:spacing w:line="276" w:lineRule="auto"/>
        <w:jc w:val="both"/>
        <w:rPr>
          <w:rFonts w:ascii="Arial" w:hAnsi="Arial" w:cs="Arial"/>
          <w:color w:val="000000"/>
          <w:sz w:val="22"/>
          <w:szCs w:val="22"/>
        </w:rPr>
      </w:pPr>
      <w:r w:rsidRPr="00B711B0">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59B43E77" w14:textId="77777777" w:rsidR="00B711B0" w:rsidRPr="00B711B0" w:rsidRDefault="00B711B0" w:rsidP="00B711B0">
      <w:pPr>
        <w:spacing w:line="276" w:lineRule="auto"/>
        <w:jc w:val="both"/>
        <w:rPr>
          <w:rFonts w:ascii="Arial" w:hAnsi="Arial" w:cs="Arial"/>
          <w:color w:val="000000"/>
          <w:sz w:val="22"/>
          <w:szCs w:val="22"/>
        </w:rPr>
      </w:pPr>
    </w:p>
    <w:p w14:paraId="72CD3DFC" w14:textId="77777777" w:rsidR="00B711B0" w:rsidRPr="00B711B0" w:rsidRDefault="00B711B0" w:rsidP="00B711B0">
      <w:pPr>
        <w:spacing w:line="276" w:lineRule="auto"/>
        <w:jc w:val="both"/>
        <w:rPr>
          <w:rFonts w:ascii="Arial" w:hAnsi="Arial" w:cs="Arial"/>
          <w:color w:val="000000"/>
          <w:sz w:val="22"/>
          <w:szCs w:val="22"/>
        </w:rPr>
      </w:pPr>
      <w:r w:rsidRPr="00B711B0">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46CFD5D2" w14:textId="77777777" w:rsidR="00B711B0" w:rsidRPr="00B711B0" w:rsidRDefault="00B711B0" w:rsidP="00B711B0">
      <w:pPr>
        <w:spacing w:line="276" w:lineRule="auto"/>
        <w:jc w:val="both"/>
        <w:rPr>
          <w:rFonts w:ascii="Arial" w:hAnsi="Arial" w:cs="Arial"/>
          <w:color w:val="000000"/>
          <w:sz w:val="22"/>
          <w:szCs w:val="22"/>
        </w:rPr>
      </w:pPr>
    </w:p>
    <w:p w14:paraId="2E4ABB12" w14:textId="77777777" w:rsidR="00B711B0" w:rsidRPr="00B711B0" w:rsidRDefault="00B711B0" w:rsidP="00B711B0">
      <w:pPr>
        <w:spacing w:line="276" w:lineRule="auto"/>
        <w:jc w:val="both"/>
        <w:rPr>
          <w:rFonts w:ascii="Arial" w:hAnsi="Arial" w:cs="Arial"/>
          <w:color w:val="000000"/>
          <w:sz w:val="22"/>
          <w:szCs w:val="22"/>
        </w:rPr>
      </w:pPr>
      <w:r w:rsidRPr="00B711B0">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03F77CF5" w14:textId="77777777" w:rsidR="00B711B0" w:rsidRPr="00B711B0" w:rsidRDefault="00B711B0" w:rsidP="00B711B0">
      <w:pPr>
        <w:spacing w:line="276" w:lineRule="auto"/>
        <w:jc w:val="both"/>
        <w:rPr>
          <w:rFonts w:ascii="Arial" w:hAnsi="Arial" w:cs="Arial"/>
          <w:color w:val="000000"/>
          <w:sz w:val="22"/>
          <w:szCs w:val="22"/>
        </w:rPr>
      </w:pPr>
    </w:p>
    <w:p w14:paraId="48816732" w14:textId="77777777" w:rsidR="00B711B0" w:rsidRPr="00B711B0" w:rsidRDefault="00B711B0" w:rsidP="00B711B0">
      <w:pPr>
        <w:spacing w:line="276" w:lineRule="auto"/>
        <w:jc w:val="both"/>
        <w:rPr>
          <w:rFonts w:ascii="Arial" w:hAnsi="Arial" w:cs="Arial"/>
          <w:color w:val="000000"/>
          <w:sz w:val="22"/>
          <w:szCs w:val="22"/>
        </w:rPr>
      </w:pPr>
      <w:r w:rsidRPr="00B711B0">
        <w:rPr>
          <w:rFonts w:ascii="Arial" w:hAnsi="Arial" w:cs="Arial"/>
          <w:color w:val="000000"/>
          <w:sz w:val="22"/>
          <w:szCs w:val="22"/>
        </w:rPr>
        <w:t>Paragraph 213 advises that harm to the significance of a designated heritage asset should require “clear and convincing justification”.</w:t>
      </w:r>
    </w:p>
    <w:p w14:paraId="2760B8BD" w14:textId="77777777" w:rsidR="00B711B0" w:rsidRPr="00B711B0" w:rsidRDefault="00B711B0" w:rsidP="00B711B0">
      <w:pPr>
        <w:spacing w:line="276" w:lineRule="auto"/>
        <w:jc w:val="both"/>
        <w:rPr>
          <w:rFonts w:ascii="Arial" w:hAnsi="Arial" w:cs="Arial"/>
          <w:color w:val="000000"/>
          <w:sz w:val="22"/>
          <w:szCs w:val="22"/>
        </w:rPr>
      </w:pPr>
    </w:p>
    <w:p w14:paraId="449C00C1" w14:textId="77777777" w:rsidR="00B711B0" w:rsidRPr="00B711B0" w:rsidRDefault="00B711B0" w:rsidP="00B711B0">
      <w:pPr>
        <w:spacing w:line="276" w:lineRule="auto"/>
        <w:jc w:val="both"/>
        <w:rPr>
          <w:rFonts w:ascii="Arial" w:hAnsi="Arial" w:cs="Arial"/>
          <w:color w:val="000000"/>
          <w:sz w:val="22"/>
          <w:szCs w:val="22"/>
        </w:rPr>
      </w:pPr>
      <w:r w:rsidRPr="00B711B0">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2FD5BAA4" w14:textId="77777777" w:rsidR="00B711B0" w:rsidRPr="00B711B0" w:rsidRDefault="00B711B0" w:rsidP="00B711B0">
      <w:pPr>
        <w:spacing w:line="276" w:lineRule="auto"/>
        <w:jc w:val="both"/>
        <w:rPr>
          <w:rFonts w:ascii="Arial" w:hAnsi="Arial" w:cs="Arial"/>
          <w:color w:val="000000"/>
          <w:sz w:val="22"/>
          <w:szCs w:val="22"/>
        </w:rPr>
      </w:pPr>
    </w:p>
    <w:p w14:paraId="3565E6D7" w14:textId="77777777" w:rsidR="00B711B0" w:rsidRPr="00B711B0" w:rsidRDefault="00B711B0" w:rsidP="00B711B0">
      <w:pPr>
        <w:spacing w:line="276" w:lineRule="auto"/>
        <w:jc w:val="both"/>
        <w:rPr>
          <w:rFonts w:ascii="Arial" w:hAnsi="Arial" w:cs="Arial"/>
          <w:color w:val="000000"/>
          <w:sz w:val="22"/>
          <w:szCs w:val="22"/>
        </w:rPr>
      </w:pPr>
      <w:r w:rsidRPr="00B711B0">
        <w:rPr>
          <w:rFonts w:ascii="Arial" w:hAnsi="Arial" w:cs="Arial"/>
          <w:color w:val="000000"/>
          <w:sz w:val="22"/>
          <w:szCs w:val="22"/>
        </w:rPr>
        <w:t xml:space="preserve">Paragraph 220 advises that not all elements of a Conservation Area or World Heritage Site will necessarily contribute to its significance. Loss of a building (or other element) which makes </w:t>
      </w:r>
      <w:r w:rsidRPr="00B711B0">
        <w:rPr>
          <w:rFonts w:ascii="Arial" w:hAnsi="Arial" w:cs="Arial"/>
          <w:color w:val="000000"/>
          <w:sz w:val="22"/>
          <w:szCs w:val="22"/>
        </w:rPr>
        <w:lastRenderedPageBreak/>
        <w:t>a positive contribution to the significance of the Conservation Area or World Heritage Site should be treated either as substantial harm or less than substantial harm as appropriate.</w:t>
      </w:r>
    </w:p>
    <w:p w14:paraId="2155A7F7" w14:textId="77777777" w:rsidR="00B711B0" w:rsidRPr="00B711B0" w:rsidRDefault="00B711B0" w:rsidP="00B711B0">
      <w:pPr>
        <w:spacing w:line="276" w:lineRule="auto"/>
        <w:jc w:val="both"/>
        <w:rPr>
          <w:rFonts w:ascii="Arial" w:hAnsi="Arial" w:cs="Arial"/>
          <w:color w:val="000000"/>
          <w:sz w:val="22"/>
          <w:szCs w:val="22"/>
        </w:rPr>
      </w:pPr>
    </w:p>
    <w:p w14:paraId="6E196ABF" w14:textId="77777777" w:rsidR="00B711B0" w:rsidRPr="00B711B0" w:rsidRDefault="00B711B0" w:rsidP="00B711B0">
      <w:pPr>
        <w:spacing w:line="276" w:lineRule="auto"/>
        <w:jc w:val="both"/>
        <w:rPr>
          <w:rFonts w:ascii="Arial" w:hAnsi="Arial" w:cs="Arial"/>
          <w:bCs/>
          <w:iCs/>
          <w:color w:val="000000" w:themeColor="text1"/>
          <w:sz w:val="22"/>
          <w:szCs w:val="22"/>
        </w:rPr>
      </w:pPr>
      <w:r w:rsidRPr="00B711B0">
        <w:rPr>
          <w:rFonts w:ascii="Arial" w:hAnsi="Arial" w:cs="Arial"/>
          <w:bCs/>
          <w:iCs/>
          <w:color w:val="000000" w:themeColor="text1"/>
          <w:sz w:val="22"/>
          <w:szCs w:val="22"/>
        </w:rPr>
        <w:t>The Planning Practice Guidance provides guidance on interpreting the NPPF.</w:t>
      </w:r>
    </w:p>
    <w:p w14:paraId="60210E2E" w14:textId="77777777" w:rsidR="00B711B0" w:rsidRPr="00B711B0" w:rsidRDefault="00B711B0" w:rsidP="00B711B0">
      <w:pPr>
        <w:spacing w:line="276" w:lineRule="auto"/>
        <w:jc w:val="both"/>
        <w:rPr>
          <w:rFonts w:ascii="Arial" w:hAnsi="Arial" w:cs="Arial"/>
          <w:color w:val="000000"/>
          <w:sz w:val="22"/>
          <w:szCs w:val="22"/>
        </w:rPr>
      </w:pPr>
      <w:r w:rsidRPr="00B711B0">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C8438C5" w14:textId="77777777" w:rsidR="00534428" w:rsidRDefault="00534428" w:rsidP="00B341CC">
      <w:pPr>
        <w:spacing w:line="276" w:lineRule="auto"/>
        <w:jc w:val="both"/>
        <w:rPr>
          <w:rFonts w:ascii="Arial" w:hAnsi="Arial" w:cs="Arial"/>
          <w:b/>
          <w:bCs/>
          <w:sz w:val="22"/>
          <w:szCs w:val="22"/>
        </w:rPr>
      </w:pPr>
    </w:p>
    <w:p w14:paraId="39588B7F"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14EC4EFF" w14:textId="38BDE0BB" w:rsidR="008E59DE" w:rsidRPr="00AF25E2" w:rsidRDefault="0047642D" w:rsidP="00B341CC">
      <w:pPr>
        <w:spacing w:line="276" w:lineRule="auto"/>
        <w:jc w:val="both"/>
        <w:rPr>
          <w:rFonts w:ascii="Arial" w:hAnsi="Arial" w:cs="Arial"/>
          <w:sz w:val="22"/>
          <w:szCs w:val="22"/>
        </w:rPr>
      </w:pPr>
      <w:r w:rsidRPr="00AF25E2">
        <w:rPr>
          <w:rFonts w:ascii="Arial" w:hAnsi="Arial" w:cs="Arial"/>
          <w:sz w:val="22"/>
          <w:szCs w:val="22"/>
        </w:rPr>
        <w:t xml:space="preserve">It is noted that elevation A </w:t>
      </w:r>
      <w:r w:rsidR="00445EAD" w:rsidRPr="00AF25E2">
        <w:rPr>
          <w:rFonts w:ascii="Arial" w:hAnsi="Arial" w:cs="Arial"/>
          <w:sz w:val="22"/>
          <w:szCs w:val="22"/>
        </w:rPr>
        <w:t>fronts Church Walk and elevation</w:t>
      </w:r>
      <w:r w:rsidR="008408BF" w:rsidRPr="00AF25E2">
        <w:rPr>
          <w:rFonts w:ascii="Arial" w:hAnsi="Arial" w:cs="Arial"/>
          <w:sz w:val="22"/>
          <w:szCs w:val="22"/>
        </w:rPr>
        <w:t xml:space="preserve"> B fronts Brickley Lane, with elevation C also being visible on approach along the same road. </w:t>
      </w:r>
      <w:r w:rsidR="009111C2" w:rsidRPr="00AF25E2">
        <w:rPr>
          <w:rFonts w:ascii="Arial" w:hAnsi="Arial" w:cs="Arial"/>
          <w:sz w:val="22"/>
          <w:szCs w:val="22"/>
        </w:rPr>
        <w:t xml:space="preserve"> The remaining elevations</w:t>
      </w:r>
      <w:r w:rsidR="00AF25E2">
        <w:rPr>
          <w:rFonts w:ascii="Arial" w:hAnsi="Arial" w:cs="Arial"/>
          <w:sz w:val="22"/>
          <w:szCs w:val="22"/>
        </w:rPr>
        <w:t>,</w:t>
      </w:r>
      <w:r w:rsidR="009111C2" w:rsidRPr="00AF25E2">
        <w:rPr>
          <w:rFonts w:ascii="Arial" w:hAnsi="Arial" w:cs="Arial"/>
          <w:sz w:val="22"/>
          <w:szCs w:val="22"/>
        </w:rPr>
        <w:t xml:space="preserve"> D-</w:t>
      </w:r>
      <w:r w:rsidR="00AF25E2" w:rsidRPr="00AF25E2">
        <w:rPr>
          <w:rFonts w:ascii="Arial" w:hAnsi="Arial" w:cs="Arial"/>
          <w:sz w:val="22"/>
          <w:szCs w:val="22"/>
        </w:rPr>
        <w:t>H, will not be visible from public vantage points</w:t>
      </w:r>
      <w:r w:rsidR="00EB63F1">
        <w:rPr>
          <w:rFonts w:ascii="Arial" w:hAnsi="Arial" w:cs="Arial"/>
          <w:sz w:val="22"/>
          <w:szCs w:val="22"/>
        </w:rPr>
        <w:t>, being sited on the rear projecting arm of the building</w:t>
      </w:r>
      <w:r w:rsidR="000B4065">
        <w:rPr>
          <w:rFonts w:ascii="Arial" w:hAnsi="Arial" w:cs="Arial"/>
          <w:sz w:val="22"/>
          <w:szCs w:val="22"/>
        </w:rPr>
        <w:t>s</w:t>
      </w:r>
      <w:r w:rsidR="00AF25E2" w:rsidRPr="00AF25E2">
        <w:rPr>
          <w:rFonts w:ascii="Arial" w:hAnsi="Arial" w:cs="Arial"/>
          <w:sz w:val="22"/>
          <w:szCs w:val="22"/>
        </w:rPr>
        <w:t>, but will remain</w:t>
      </w:r>
      <w:r w:rsidR="002B47D2">
        <w:rPr>
          <w:rFonts w:ascii="Arial" w:hAnsi="Arial" w:cs="Arial"/>
          <w:sz w:val="22"/>
          <w:szCs w:val="22"/>
        </w:rPr>
        <w:t xml:space="preserve"> in part</w:t>
      </w:r>
      <w:r w:rsidR="00AF25E2">
        <w:rPr>
          <w:rFonts w:ascii="Arial" w:hAnsi="Arial" w:cs="Arial"/>
          <w:sz w:val="22"/>
          <w:szCs w:val="22"/>
        </w:rPr>
        <w:t>,</w:t>
      </w:r>
      <w:r w:rsidR="00AF25E2" w:rsidRPr="00AF25E2">
        <w:rPr>
          <w:rFonts w:ascii="Arial" w:hAnsi="Arial" w:cs="Arial"/>
          <w:sz w:val="22"/>
          <w:szCs w:val="22"/>
        </w:rPr>
        <w:t xml:space="preserve"> inside the Conservation Area Boundary. </w:t>
      </w:r>
      <w:r w:rsidR="00516886">
        <w:rPr>
          <w:rFonts w:ascii="Arial" w:hAnsi="Arial" w:cs="Arial"/>
          <w:sz w:val="22"/>
          <w:szCs w:val="22"/>
        </w:rPr>
        <w:t xml:space="preserve"> The comment</w:t>
      </w:r>
      <w:r w:rsidR="000B4065">
        <w:rPr>
          <w:rFonts w:ascii="Arial" w:hAnsi="Arial" w:cs="Arial"/>
          <w:sz w:val="22"/>
          <w:szCs w:val="22"/>
        </w:rPr>
        <w:t>s</w:t>
      </w:r>
      <w:r w:rsidR="00516886">
        <w:rPr>
          <w:rFonts w:ascii="Arial" w:hAnsi="Arial" w:cs="Arial"/>
          <w:sz w:val="22"/>
          <w:szCs w:val="22"/>
        </w:rPr>
        <w:t xml:space="preserve"> from the Trust for Devizes have raised similar points </w:t>
      </w:r>
    </w:p>
    <w:p w14:paraId="30BF6EB6" w14:textId="77777777" w:rsidR="0047642D" w:rsidRDefault="0047642D" w:rsidP="00B341CC">
      <w:pPr>
        <w:spacing w:line="276" w:lineRule="auto"/>
        <w:jc w:val="both"/>
        <w:rPr>
          <w:rFonts w:ascii="Arial" w:hAnsi="Arial" w:cs="Arial"/>
          <w:i/>
          <w:iCs/>
          <w:sz w:val="22"/>
          <w:szCs w:val="22"/>
        </w:rPr>
      </w:pPr>
    </w:p>
    <w:p w14:paraId="20A03BA1" w14:textId="77777777" w:rsidR="00E66C08" w:rsidRDefault="00CF2475" w:rsidP="00CF2475">
      <w:pPr>
        <w:spacing w:line="276" w:lineRule="auto"/>
        <w:jc w:val="both"/>
        <w:rPr>
          <w:rFonts w:ascii="Arial" w:hAnsi="Arial" w:cs="Arial"/>
          <w:sz w:val="22"/>
          <w:szCs w:val="22"/>
        </w:rPr>
      </w:pPr>
      <w:r w:rsidRPr="00CF2475">
        <w:rPr>
          <w:rFonts w:ascii="Arial" w:hAnsi="Arial" w:cs="Arial"/>
          <w:sz w:val="22"/>
          <w:szCs w:val="22"/>
        </w:rPr>
        <w:t>In terms of design, the proposed window replacements according to the sup</w:t>
      </w:r>
      <w:r w:rsidR="000D6E26">
        <w:rPr>
          <w:rFonts w:ascii="Arial" w:hAnsi="Arial" w:cs="Arial"/>
          <w:sz w:val="22"/>
          <w:szCs w:val="22"/>
        </w:rPr>
        <w:t>porting Design and Access</w:t>
      </w:r>
      <w:r w:rsidRPr="00CF2475">
        <w:rPr>
          <w:rFonts w:ascii="Arial" w:hAnsi="Arial" w:cs="Arial"/>
          <w:sz w:val="22"/>
          <w:szCs w:val="22"/>
        </w:rPr>
        <w:t xml:space="preserve"> </w:t>
      </w:r>
      <w:r w:rsidR="000D6E26">
        <w:rPr>
          <w:rFonts w:ascii="Arial" w:hAnsi="Arial" w:cs="Arial"/>
          <w:sz w:val="22"/>
          <w:szCs w:val="22"/>
        </w:rPr>
        <w:t>S</w:t>
      </w:r>
      <w:r w:rsidRPr="00CF2475">
        <w:rPr>
          <w:rFonts w:ascii="Arial" w:hAnsi="Arial" w:cs="Arial"/>
          <w:sz w:val="22"/>
          <w:szCs w:val="22"/>
        </w:rPr>
        <w:t xml:space="preserve">tatement </w:t>
      </w:r>
      <w:r w:rsidRPr="00CF2475">
        <w:rPr>
          <w:rFonts w:ascii="Arial" w:hAnsi="Arial" w:cs="Arial"/>
          <w:i/>
          <w:iCs/>
          <w:sz w:val="22"/>
          <w:szCs w:val="22"/>
        </w:rPr>
        <w:t xml:space="preserve">“…are specifically designed to mimic the profiles of traditional flush-sash windows as far as </w:t>
      </w:r>
      <w:r w:rsidR="009811B3">
        <w:rPr>
          <w:rFonts w:ascii="Arial" w:hAnsi="Arial" w:cs="Arial"/>
          <w:i/>
          <w:iCs/>
          <w:sz w:val="22"/>
          <w:szCs w:val="22"/>
        </w:rPr>
        <w:t>feasible</w:t>
      </w:r>
      <w:r w:rsidRPr="00CF2475">
        <w:rPr>
          <w:rFonts w:ascii="Arial" w:hAnsi="Arial" w:cs="Arial"/>
          <w:i/>
          <w:iCs/>
          <w:sz w:val="22"/>
          <w:szCs w:val="22"/>
        </w:rPr>
        <w:t xml:space="preserve">.  The frames are narrower than the wider profiles, usually associated with uPVC windows.  Profile edges are softened, right angles, rather than rounded.  </w:t>
      </w:r>
      <w:r w:rsidR="00224D90">
        <w:rPr>
          <w:rFonts w:ascii="Arial" w:hAnsi="Arial" w:cs="Arial"/>
          <w:i/>
          <w:iCs/>
          <w:sz w:val="22"/>
          <w:szCs w:val="22"/>
        </w:rPr>
        <w:t>Like</w:t>
      </w:r>
      <w:r w:rsidRPr="00CF2475">
        <w:rPr>
          <w:rFonts w:ascii="Arial" w:hAnsi="Arial" w:cs="Arial"/>
          <w:i/>
          <w:iCs/>
          <w:sz w:val="22"/>
          <w:szCs w:val="22"/>
        </w:rPr>
        <w:t xml:space="preserve"> the existing timber windows, the new ones feature trickle vents concealed within a head rail”.</w:t>
      </w:r>
      <w:r w:rsidRPr="00CF2475">
        <w:rPr>
          <w:rFonts w:ascii="Arial" w:hAnsi="Arial" w:cs="Arial"/>
          <w:sz w:val="22"/>
          <w:szCs w:val="22"/>
        </w:rPr>
        <w:t xml:space="preserve">  </w:t>
      </w:r>
    </w:p>
    <w:p w14:paraId="577D144C" w14:textId="77777777" w:rsidR="00E66C08" w:rsidRDefault="00E66C08" w:rsidP="00CF2475">
      <w:pPr>
        <w:spacing w:line="276" w:lineRule="auto"/>
        <w:jc w:val="both"/>
        <w:rPr>
          <w:rFonts w:ascii="Arial" w:hAnsi="Arial" w:cs="Arial"/>
          <w:sz w:val="22"/>
          <w:szCs w:val="22"/>
        </w:rPr>
      </w:pPr>
    </w:p>
    <w:p w14:paraId="6C521F33" w14:textId="7F40E607" w:rsidR="00CF2475" w:rsidRPr="00CF2475" w:rsidRDefault="00CF2475" w:rsidP="00CF2475">
      <w:pPr>
        <w:spacing w:line="276" w:lineRule="auto"/>
        <w:jc w:val="both"/>
        <w:rPr>
          <w:rFonts w:ascii="Arial" w:hAnsi="Arial" w:cs="Arial"/>
          <w:sz w:val="22"/>
          <w:szCs w:val="22"/>
        </w:rPr>
      </w:pPr>
      <w:r w:rsidRPr="00CF2475">
        <w:rPr>
          <w:rFonts w:ascii="Arial" w:hAnsi="Arial" w:cs="Arial"/>
          <w:sz w:val="22"/>
          <w:szCs w:val="22"/>
        </w:rPr>
        <w:t>In view of this, the proposals would be of an acceptable form and profiling, minimising their impact upon the character and appearance of the</w:t>
      </w:r>
      <w:r w:rsidR="00AF25E2">
        <w:rPr>
          <w:rFonts w:ascii="Arial" w:hAnsi="Arial" w:cs="Arial"/>
          <w:sz w:val="22"/>
          <w:szCs w:val="22"/>
        </w:rPr>
        <w:t xml:space="preserve"> conservation</w:t>
      </w:r>
      <w:r w:rsidRPr="00CF2475">
        <w:rPr>
          <w:rFonts w:ascii="Arial" w:hAnsi="Arial" w:cs="Arial"/>
          <w:sz w:val="22"/>
          <w:szCs w:val="22"/>
        </w:rPr>
        <w:t xml:space="preserve"> are</w:t>
      </w:r>
      <w:r w:rsidR="009A5F16">
        <w:rPr>
          <w:rFonts w:ascii="Arial" w:hAnsi="Arial" w:cs="Arial"/>
          <w:sz w:val="22"/>
          <w:szCs w:val="22"/>
        </w:rPr>
        <w:t xml:space="preserve">a, together with being wood </w:t>
      </w:r>
      <w:r w:rsidR="00BE75C9">
        <w:rPr>
          <w:rFonts w:ascii="Arial" w:hAnsi="Arial" w:cs="Arial"/>
          <w:sz w:val="22"/>
          <w:szCs w:val="22"/>
        </w:rPr>
        <w:t>e</w:t>
      </w:r>
      <w:r w:rsidR="009A5F16">
        <w:rPr>
          <w:rFonts w:ascii="Arial" w:hAnsi="Arial" w:cs="Arial"/>
          <w:sz w:val="22"/>
          <w:szCs w:val="22"/>
        </w:rPr>
        <w:t>ffect</w:t>
      </w:r>
      <w:r w:rsidR="00BE75C9">
        <w:rPr>
          <w:rFonts w:ascii="Arial" w:hAnsi="Arial" w:cs="Arial"/>
          <w:sz w:val="22"/>
          <w:szCs w:val="22"/>
        </w:rPr>
        <w:t xml:space="preserve"> in appearance</w:t>
      </w:r>
      <w:r w:rsidR="009602BD">
        <w:rPr>
          <w:rFonts w:ascii="Arial" w:hAnsi="Arial" w:cs="Arial"/>
          <w:sz w:val="22"/>
          <w:szCs w:val="22"/>
        </w:rPr>
        <w:t xml:space="preserve"> </w:t>
      </w:r>
      <w:r w:rsidR="0053079B">
        <w:rPr>
          <w:rFonts w:ascii="Arial" w:hAnsi="Arial" w:cs="Arial"/>
          <w:sz w:val="22"/>
          <w:szCs w:val="22"/>
        </w:rPr>
        <w:t>keeping the design and appearance in keeping with existing window replacements on the building</w:t>
      </w:r>
      <w:r w:rsidR="002B47D2">
        <w:rPr>
          <w:rFonts w:ascii="Arial" w:hAnsi="Arial" w:cs="Arial"/>
          <w:sz w:val="22"/>
          <w:szCs w:val="22"/>
        </w:rPr>
        <w:t xml:space="preserve"> previously approved</w:t>
      </w:r>
      <w:r w:rsidR="009A5F16">
        <w:rPr>
          <w:rFonts w:ascii="Arial" w:hAnsi="Arial" w:cs="Arial"/>
          <w:sz w:val="22"/>
          <w:szCs w:val="22"/>
        </w:rPr>
        <w:t xml:space="preserve">.  </w:t>
      </w:r>
    </w:p>
    <w:p w14:paraId="36E33865" w14:textId="77777777" w:rsidR="00E83E98" w:rsidRPr="00CF2475" w:rsidRDefault="00E83E98" w:rsidP="00CF2475">
      <w:pPr>
        <w:spacing w:line="276" w:lineRule="auto"/>
        <w:jc w:val="both"/>
        <w:rPr>
          <w:rFonts w:ascii="Arial" w:hAnsi="Arial" w:cs="Arial"/>
          <w:sz w:val="22"/>
          <w:szCs w:val="22"/>
        </w:rPr>
      </w:pPr>
    </w:p>
    <w:p w14:paraId="4C950E56" w14:textId="77777777" w:rsidR="00CF2475" w:rsidRPr="00CF2475" w:rsidRDefault="00CF2475" w:rsidP="00D075F2">
      <w:pPr>
        <w:spacing w:line="276" w:lineRule="auto"/>
        <w:jc w:val="both"/>
        <w:rPr>
          <w:rFonts w:ascii="Arial" w:hAnsi="Arial" w:cs="Arial"/>
          <w:sz w:val="22"/>
          <w:szCs w:val="22"/>
        </w:rPr>
      </w:pPr>
      <w:r w:rsidRPr="00CF2475">
        <w:rPr>
          <w:rFonts w:ascii="Arial" w:hAnsi="Arial" w:cs="Arial"/>
          <w:sz w:val="22"/>
          <w:szCs w:val="22"/>
        </w:rPr>
        <w:t>The Council’s Conservation Officer comments:</w:t>
      </w:r>
    </w:p>
    <w:p w14:paraId="455F2BF6" w14:textId="77777777" w:rsidR="001873F2" w:rsidRDefault="001873F2" w:rsidP="00D075F2">
      <w:pPr>
        <w:spacing w:line="276" w:lineRule="auto"/>
        <w:jc w:val="both"/>
        <w:rPr>
          <w:rFonts w:ascii="Arial" w:hAnsi="Arial" w:cs="Arial"/>
          <w:i/>
          <w:iCs/>
          <w:sz w:val="22"/>
          <w:szCs w:val="22"/>
        </w:rPr>
      </w:pPr>
    </w:p>
    <w:p w14:paraId="780C0FDD" w14:textId="7E57DA1A" w:rsidR="004825BC" w:rsidRPr="00534428" w:rsidRDefault="00BE7A9F" w:rsidP="00D075F2">
      <w:pPr>
        <w:spacing w:line="276" w:lineRule="auto"/>
        <w:jc w:val="both"/>
        <w:rPr>
          <w:rFonts w:ascii="Arial" w:hAnsi="Arial" w:cs="Arial"/>
          <w:bCs/>
          <w:iCs/>
          <w:color w:val="000000" w:themeColor="text1"/>
          <w:sz w:val="22"/>
          <w:szCs w:val="22"/>
        </w:rPr>
      </w:pPr>
      <w:r w:rsidRPr="00534428">
        <w:rPr>
          <w:rStyle w:val="fontstyle01"/>
          <w:rFonts w:ascii="Arial" w:eastAsiaTheme="majorEastAsia" w:hAnsi="Arial" w:cs="Arial"/>
          <w:sz w:val="22"/>
          <w:szCs w:val="22"/>
        </w:rPr>
        <w:t>Site</w:t>
      </w:r>
      <w:r w:rsidRPr="00534428">
        <w:rPr>
          <w:rStyle w:val="fontstyle11"/>
          <w:rFonts w:ascii="Arial" w:eastAsiaTheme="majorEastAsia" w:hAnsi="Arial" w:cs="Arial"/>
          <w:sz w:val="22"/>
          <w:szCs w:val="22"/>
        </w:rPr>
        <w:t xml:space="preserve">: </w:t>
      </w:r>
      <w:r w:rsidRPr="00534428">
        <w:rPr>
          <w:rFonts w:ascii="Arial" w:hAnsi="Arial" w:cs="Arial"/>
          <w:bCs/>
          <w:iCs/>
          <w:color w:val="000000" w:themeColor="text1"/>
          <w:sz w:val="22"/>
          <w:szCs w:val="22"/>
        </w:rPr>
        <w:t>The building is a modern block of 2/3 storey flats located within Devizes Conservation Area opposite to St James Church, a Grade II* listed building.</w:t>
      </w:r>
    </w:p>
    <w:p w14:paraId="562D93B8" w14:textId="77777777" w:rsidR="00534428" w:rsidRPr="00534428" w:rsidRDefault="00534428" w:rsidP="00D075F2">
      <w:pPr>
        <w:spacing w:line="276" w:lineRule="auto"/>
        <w:jc w:val="both"/>
        <w:rPr>
          <w:rFonts w:ascii="Arial" w:hAnsi="Arial" w:cs="Arial"/>
          <w:bCs/>
          <w:iCs/>
          <w:color w:val="000000" w:themeColor="text1"/>
          <w:sz w:val="22"/>
          <w:szCs w:val="22"/>
        </w:rPr>
      </w:pPr>
    </w:p>
    <w:p w14:paraId="2D88E6A4" w14:textId="77777777" w:rsidR="00534428" w:rsidRPr="00534428" w:rsidRDefault="00534428" w:rsidP="00D075F2">
      <w:pPr>
        <w:kinsoku w:val="0"/>
        <w:overflowPunct w:val="0"/>
        <w:autoSpaceDE w:val="0"/>
        <w:autoSpaceDN w:val="0"/>
        <w:adjustRightInd w:val="0"/>
        <w:spacing w:line="276" w:lineRule="auto"/>
        <w:ind w:left="2" w:right="133"/>
        <w:jc w:val="both"/>
        <w:rPr>
          <w:rFonts w:ascii="Arial" w:eastAsiaTheme="minorHAnsi" w:hAnsi="Arial" w:cs="Arial"/>
          <w:sz w:val="22"/>
          <w:szCs w:val="22"/>
          <w:lang w:eastAsia="en-US"/>
          <w14:ligatures w14:val="standardContextual"/>
        </w:rPr>
      </w:pPr>
      <w:r w:rsidRPr="00534428">
        <w:rPr>
          <w:rFonts w:ascii="Arial" w:eastAsiaTheme="minorHAnsi" w:hAnsi="Arial" w:cs="Arial"/>
          <w:b/>
          <w:bCs/>
          <w:sz w:val="22"/>
          <w:szCs w:val="22"/>
          <w:lang w:eastAsia="en-US"/>
          <w14:ligatures w14:val="standardContextual"/>
        </w:rPr>
        <w:t>Significance</w:t>
      </w:r>
      <w:r w:rsidRPr="00534428">
        <w:rPr>
          <w:rFonts w:ascii="Arial" w:eastAsiaTheme="minorHAnsi" w:hAnsi="Arial" w:cs="Arial"/>
          <w:b/>
          <w:bCs/>
          <w:spacing w:val="-2"/>
          <w:sz w:val="22"/>
          <w:szCs w:val="22"/>
          <w:lang w:eastAsia="en-US"/>
          <w14:ligatures w14:val="standardContextual"/>
        </w:rPr>
        <w:t xml:space="preserve"> </w:t>
      </w:r>
      <w:r w:rsidRPr="00534428">
        <w:rPr>
          <w:rFonts w:ascii="Arial" w:eastAsiaTheme="minorHAnsi" w:hAnsi="Arial" w:cs="Arial"/>
          <w:b/>
          <w:bCs/>
          <w:sz w:val="22"/>
          <w:szCs w:val="22"/>
          <w:lang w:eastAsia="en-US"/>
          <w14:ligatures w14:val="standardContextual"/>
        </w:rPr>
        <w:t>of</w:t>
      </w:r>
      <w:r w:rsidRPr="00534428">
        <w:rPr>
          <w:rFonts w:ascii="Arial" w:eastAsiaTheme="minorHAnsi" w:hAnsi="Arial" w:cs="Arial"/>
          <w:b/>
          <w:bCs/>
          <w:spacing w:val="-2"/>
          <w:sz w:val="22"/>
          <w:szCs w:val="22"/>
          <w:lang w:eastAsia="en-US"/>
          <w14:ligatures w14:val="standardContextual"/>
        </w:rPr>
        <w:t xml:space="preserve"> </w:t>
      </w:r>
      <w:r w:rsidRPr="00534428">
        <w:rPr>
          <w:rFonts w:ascii="Arial" w:eastAsiaTheme="minorHAnsi" w:hAnsi="Arial" w:cs="Arial"/>
          <w:b/>
          <w:bCs/>
          <w:sz w:val="22"/>
          <w:szCs w:val="22"/>
          <w:lang w:eastAsia="en-US"/>
          <w14:ligatures w14:val="standardContextual"/>
        </w:rPr>
        <w:t>assets</w:t>
      </w:r>
      <w:r w:rsidRPr="00534428">
        <w:rPr>
          <w:rFonts w:ascii="Arial" w:eastAsiaTheme="minorHAnsi" w:hAnsi="Arial" w:cs="Arial"/>
          <w:b/>
          <w:bCs/>
          <w:spacing w:val="-2"/>
          <w:sz w:val="22"/>
          <w:szCs w:val="22"/>
          <w:lang w:eastAsia="en-US"/>
          <w14:ligatures w14:val="standardContextual"/>
        </w:rPr>
        <w:t xml:space="preserve"> </w:t>
      </w:r>
      <w:r w:rsidRPr="00534428">
        <w:rPr>
          <w:rFonts w:ascii="Arial" w:eastAsiaTheme="minorHAnsi" w:hAnsi="Arial" w:cs="Arial"/>
          <w:b/>
          <w:bCs/>
          <w:sz w:val="22"/>
          <w:szCs w:val="22"/>
          <w:lang w:eastAsia="en-US"/>
          <w14:ligatures w14:val="standardContextual"/>
        </w:rPr>
        <w:t>and</w:t>
      </w:r>
      <w:r w:rsidRPr="00534428">
        <w:rPr>
          <w:rFonts w:ascii="Arial" w:eastAsiaTheme="minorHAnsi" w:hAnsi="Arial" w:cs="Arial"/>
          <w:b/>
          <w:bCs/>
          <w:spacing w:val="-2"/>
          <w:sz w:val="22"/>
          <w:szCs w:val="22"/>
          <w:lang w:eastAsia="en-US"/>
          <w14:ligatures w14:val="standardContextual"/>
        </w:rPr>
        <w:t xml:space="preserve"> </w:t>
      </w:r>
      <w:r w:rsidRPr="00534428">
        <w:rPr>
          <w:rFonts w:ascii="Arial" w:eastAsiaTheme="minorHAnsi" w:hAnsi="Arial" w:cs="Arial"/>
          <w:b/>
          <w:bCs/>
          <w:sz w:val="22"/>
          <w:szCs w:val="22"/>
          <w:lang w:eastAsia="en-US"/>
          <w14:ligatures w14:val="standardContextual"/>
        </w:rPr>
        <w:t>contribution</w:t>
      </w:r>
      <w:r w:rsidRPr="00534428">
        <w:rPr>
          <w:rFonts w:ascii="Arial" w:eastAsiaTheme="minorHAnsi" w:hAnsi="Arial" w:cs="Arial"/>
          <w:b/>
          <w:bCs/>
          <w:spacing w:val="-2"/>
          <w:sz w:val="22"/>
          <w:szCs w:val="22"/>
          <w:lang w:eastAsia="en-US"/>
          <w14:ligatures w14:val="standardContextual"/>
        </w:rPr>
        <w:t xml:space="preserve"> </w:t>
      </w:r>
      <w:r w:rsidRPr="00534428">
        <w:rPr>
          <w:rFonts w:ascii="Arial" w:eastAsiaTheme="minorHAnsi" w:hAnsi="Arial" w:cs="Arial"/>
          <w:b/>
          <w:bCs/>
          <w:sz w:val="22"/>
          <w:szCs w:val="22"/>
          <w:lang w:eastAsia="en-US"/>
          <w14:ligatures w14:val="standardContextual"/>
        </w:rPr>
        <w:t>of</w:t>
      </w:r>
      <w:r w:rsidRPr="00534428">
        <w:rPr>
          <w:rFonts w:ascii="Arial" w:eastAsiaTheme="minorHAnsi" w:hAnsi="Arial" w:cs="Arial"/>
          <w:b/>
          <w:bCs/>
          <w:spacing w:val="-1"/>
          <w:sz w:val="22"/>
          <w:szCs w:val="22"/>
          <w:lang w:eastAsia="en-US"/>
          <w14:ligatures w14:val="standardContextual"/>
        </w:rPr>
        <w:t xml:space="preserve"> </w:t>
      </w:r>
      <w:r w:rsidRPr="00534428">
        <w:rPr>
          <w:rFonts w:ascii="Arial" w:eastAsiaTheme="minorHAnsi" w:hAnsi="Arial" w:cs="Arial"/>
          <w:b/>
          <w:bCs/>
          <w:sz w:val="22"/>
          <w:szCs w:val="22"/>
          <w:lang w:eastAsia="en-US"/>
          <w14:ligatures w14:val="standardContextual"/>
        </w:rPr>
        <w:t>setting</w:t>
      </w:r>
      <w:r w:rsidRPr="00534428">
        <w:rPr>
          <w:rFonts w:ascii="Arial" w:eastAsiaTheme="minorHAnsi" w:hAnsi="Arial" w:cs="Arial"/>
          <w:sz w:val="22"/>
          <w:szCs w:val="22"/>
          <w:lang w:eastAsia="en-US"/>
          <w14:ligatures w14:val="standardContextual"/>
        </w:rPr>
        <w:t>:</w:t>
      </w:r>
      <w:r w:rsidRPr="00534428">
        <w:rPr>
          <w:rFonts w:ascii="Arial" w:eastAsiaTheme="minorHAnsi" w:hAnsi="Arial" w:cs="Arial"/>
          <w:spacing w:val="-2"/>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The</w:t>
      </w:r>
      <w:r w:rsidRPr="00534428">
        <w:rPr>
          <w:rFonts w:ascii="Arial" w:eastAsiaTheme="minorHAnsi" w:hAnsi="Arial" w:cs="Arial"/>
          <w:spacing w:val="-2"/>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NPPF</w:t>
      </w:r>
      <w:r w:rsidRPr="00534428">
        <w:rPr>
          <w:rFonts w:ascii="Arial" w:eastAsiaTheme="minorHAnsi" w:hAnsi="Arial" w:cs="Arial"/>
          <w:spacing w:val="-2"/>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defines</w:t>
      </w:r>
      <w:r w:rsidRPr="00534428">
        <w:rPr>
          <w:rFonts w:ascii="Arial" w:eastAsiaTheme="minorHAnsi" w:hAnsi="Arial" w:cs="Arial"/>
          <w:spacing w:val="-2"/>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significance</w:t>
      </w:r>
      <w:r w:rsidRPr="00534428">
        <w:rPr>
          <w:rFonts w:ascii="Arial" w:eastAsiaTheme="minorHAnsi" w:hAnsi="Arial" w:cs="Arial"/>
          <w:spacing w:val="-2"/>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as</w:t>
      </w:r>
      <w:r w:rsidRPr="00534428">
        <w:rPr>
          <w:rFonts w:ascii="Arial" w:eastAsiaTheme="minorHAnsi" w:hAnsi="Arial" w:cs="Arial"/>
          <w:spacing w:val="-2"/>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the</w:t>
      </w:r>
      <w:r w:rsidRPr="00534428">
        <w:rPr>
          <w:rFonts w:ascii="Arial" w:eastAsiaTheme="minorHAnsi" w:hAnsi="Arial" w:cs="Arial"/>
          <w:spacing w:val="-2"/>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 xml:space="preserve">“value of a heritage asset to this and future generations because of its heritage interest. The interest may be </w:t>
      </w:r>
      <w:r w:rsidRPr="00534428">
        <w:rPr>
          <w:rFonts w:ascii="Arial" w:eastAsiaTheme="minorHAnsi" w:hAnsi="Arial" w:cs="Arial"/>
          <w:b/>
          <w:bCs/>
          <w:sz w:val="22"/>
          <w:szCs w:val="22"/>
          <w:lang w:eastAsia="en-US"/>
          <w14:ligatures w14:val="standardContextual"/>
        </w:rPr>
        <w:t>archaeological</w:t>
      </w:r>
      <w:r w:rsidRPr="00534428">
        <w:rPr>
          <w:rFonts w:ascii="Arial" w:eastAsiaTheme="minorHAnsi" w:hAnsi="Arial" w:cs="Arial"/>
          <w:sz w:val="22"/>
          <w:szCs w:val="22"/>
          <w:lang w:eastAsia="en-US"/>
          <w14:ligatures w14:val="standardContextual"/>
        </w:rPr>
        <w:t xml:space="preserve">, </w:t>
      </w:r>
      <w:r w:rsidRPr="00534428">
        <w:rPr>
          <w:rFonts w:ascii="Arial" w:eastAsiaTheme="minorHAnsi" w:hAnsi="Arial" w:cs="Arial"/>
          <w:b/>
          <w:bCs/>
          <w:sz w:val="22"/>
          <w:szCs w:val="22"/>
          <w:lang w:eastAsia="en-US"/>
          <w14:ligatures w14:val="standardContextual"/>
        </w:rPr>
        <w:t>architectural</w:t>
      </w:r>
      <w:r w:rsidRPr="00534428">
        <w:rPr>
          <w:rFonts w:ascii="Arial" w:eastAsiaTheme="minorHAnsi" w:hAnsi="Arial" w:cs="Arial"/>
          <w:sz w:val="22"/>
          <w:szCs w:val="22"/>
          <w:lang w:eastAsia="en-US"/>
          <w14:ligatures w14:val="standardContextual"/>
        </w:rPr>
        <w:t xml:space="preserve">, </w:t>
      </w:r>
      <w:r w:rsidRPr="00534428">
        <w:rPr>
          <w:rFonts w:ascii="Arial" w:eastAsiaTheme="minorHAnsi" w:hAnsi="Arial" w:cs="Arial"/>
          <w:b/>
          <w:bCs/>
          <w:sz w:val="22"/>
          <w:szCs w:val="22"/>
          <w:lang w:eastAsia="en-US"/>
          <w14:ligatures w14:val="standardContextual"/>
        </w:rPr>
        <w:t xml:space="preserve">artistic </w:t>
      </w:r>
      <w:r w:rsidRPr="00534428">
        <w:rPr>
          <w:rFonts w:ascii="Arial" w:eastAsiaTheme="minorHAnsi" w:hAnsi="Arial" w:cs="Arial"/>
          <w:sz w:val="22"/>
          <w:szCs w:val="22"/>
          <w:lang w:eastAsia="en-US"/>
          <w14:ligatures w14:val="standardContextual"/>
        </w:rPr>
        <w:t xml:space="preserve">or </w:t>
      </w:r>
      <w:r w:rsidRPr="00534428">
        <w:rPr>
          <w:rFonts w:ascii="Arial" w:eastAsiaTheme="minorHAnsi" w:hAnsi="Arial" w:cs="Arial"/>
          <w:b/>
          <w:bCs/>
          <w:sz w:val="22"/>
          <w:szCs w:val="22"/>
          <w:lang w:eastAsia="en-US"/>
          <w14:ligatures w14:val="standardContextual"/>
        </w:rPr>
        <w:t>historic</w:t>
      </w:r>
      <w:r w:rsidRPr="00534428">
        <w:rPr>
          <w:rFonts w:ascii="Arial" w:eastAsiaTheme="minorHAnsi" w:hAnsi="Arial" w:cs="Arial"/>
          <w:sz w:val="22"/>
          <w:szCs w:val="22"/>
          <w:lang w:eastAsia="en-US"/>
          <w14:ligatures w14:val="standardContextual"/>
        </w:rPr>
        <w:t>. Significance derives not only from a heritage asset’s physical presence, but also from its setting.” Historic England assesses significance in a similar manner, referring to evidential, historic, aesthetic and communal values of a place.</w:t>
      </w:r>
    </w:p>
    <w:p w14:paraId="7804F186" w14:textId="77777777" w:rsidR="00534428" w:rsidRPr="00534428" w:rsidRDefault="00534428" w:rsidP="00D075F2">
      <w:pPr>
        <w:kinsoku w:val="0"/>
        <w:overflowPunct w:val="0"/>
        <w:autoSpaceDE w:val="0"/>
        <w:autoSpaceDN w:val="0"/>
        <w:adjustRightInd w:val="0"/>
        <w:spacing w:line="276" w:lineRule="auto"/>
        <w:jc w:val="both"/>
        <w:rPr>
          <w:rFonts w:ascii="Arial" w:eastAsiaTheme="minorHAnsi" w:hAnsi="Arial" w:cs="Arial"/>
          <w:sz w:val="22"/>
          <w:szCs w:val="22"/>
          <w:lang w:eastAsia="en-US"/>
          <w14:ligatures w14:val="standardContextual"/>
        </w:rPr>
      </w:pPr>
    </w:p>
    <w:p w14:paraId="70B29A9C" w14:textId="6D8E829E" w:rsidR="00534428" w:rsidRPr="00534428" w:rsidRDefault="00534428" w:rsidP="00D075F2">
      <w:pPr>
        <w:kinsoku w:val="0"/>
        <w:overflowPunct w:val="0"/>
        <w:autoSpaceDE w:val="0"/>
        <w:autoSpaceDN w:val="0"/>
        <w:adjustRightInd w:val="0"/>
        <w:spacing w:line="276" w:lineRule="auto"/>
        <w:ind w:left="2" w:right="128"/>
        <w:jc w:val="both"/>
        <w:rPr>
          <w:rFonts w:ascii="Arial" w:eastAsiaTheme="minorHAnsi" w:hAnsi="Arial" w:cs="Arial"/>
          <w:sz w:val="22"/>
          <w:szCs w:val="22"/>
          <w:lang w:eastAsia="en-US"/>
          <w14:ligatures w14:val="standardContextual"/>
        </w:rPr>
      </w:pPr>
      <w:r w:rsidRPr="00534428">
        <w:rPr>
          <w:rFonts w:ascii="Arial" w:eastAsiaTheme="minorHAnsi" w:hAnsi="Arial" w:cs="Arial"/>
          <w:sz w:val="22"/>
          <w:szCs w:val="22"/>
          <w:lang w:eastAsia="en-US"/>
          <w14:ligatures w14:val="standardContextual"/>
        </w:rPr>
        <w:t>In this case the significance of the area lies largely with its historic buildings and spaces – the architecture, building form, layout, architectural expression/detailing and use of high-quality design materials which have significant aesthetic and architectural interest</w:t>
      </w:r>
      <w:r w:rsidR="002B00DE">
        <w:rPr>
          <w:rFonts w:ascii="Arial" w:eastAsiaTheme="minorHAnsi" w:hAnsi="Arial" w:cs="Arial"/>
          <w:sz w:val="22"/>
          <w:szCs w:val="22"/>
          <w:lang w:eastAsia="en-US"/>
          <w14:ligatures w14:val="standardContextual"/>
        </w:rPr>
        <w:t>,</w:t>
      </w:r>
      <w:r w:rsidRPr="00534428">
        <w:rPr>
          <w:rFonts w:ascii="Arial" w:eastAsiaTheme="minorHAnsi" w:hAnsi="Arial" w:cs="Arial"/>
          <w:sz w:val="22"/>
          <w:szCs w:val="22"/>
          <w:lang w:eastAsia="en-US"/>
          <w14:ligatures w14:val="standardContextual"/>
        </w:rPr>
        <w:t xml:space="preserve"> and which contribute to the character and appearance of the conservation area.</w:t>
      </w:r>
    </w:p>
    <w:p w14:paraId="0EE25979" w14:textId="77777777" w:rsidR="00534428" w:rsidRPr="00534428" w:rsidRDefault="00534428" w:rsidP="00D075F2">
      <w:pPr>
        <w:kinsoku w:val="0"/>
        <w:overflowPunct w:val="0"/>
        <w:autoSpaceDE w:val="0"/>
        <w:autoSpaceDN w:val="0"/>
        <w:adjustRightInd w:val="0"/>
        <w:spacing w:line="276" w:lineRule="auto"/>
        <w:jc w:val="both"/>
        <w:rPr>
          <w:rFonts w:ascii="Arial" w:eastAsiaTheme="minorHAnsi" w:hAnsi="Arial" w:cs="Arial"/>
          <w:sz w:val="22"/>
          <w:szCs w:val="22"/>
          <w:lang w:eastAsia="en-US"/>
          <w14:ligatures w14:val="standardContextual"/>
        </w:rPr>
      </w:pPr>
    </w:p>
    <w:p w14:paraId="1C8F21BE" w14:textId="1D6260F5" w:rsidR="00534428" w:rsidRPr="00534428" w:rsidRDefault="00534428" w:rsidP="00D075F2">
      <w:pPr>
        <w:kinsoku w:val="0"/>
        <w:overflowPunct w:val="0"/>
        <w:autoSpaceDE w:val="0"/>
        <w:autoSpaceDN w:val="0"/>
        <w:adjustRightInd w:val="0"/>
        <w:spacing w:line="276" w:lineRule="auto"/>
        <w:ind w:left="2" w:right="129"/>
        <w:jc w:val="both"/>
        <w:rPr>
          <w:rFonts w:ascii="Arial" w:eastAsiaTheme="minorHAnsi" w:hAnsi="Arial" w:cs="Arial"/>
          <w:sz w:val="22"/>
          <w:szCs w:val="22"/>
          <w:lang w:eastAsia="en-US"/>
          <w14:ligatures w14:val="standardContextual"/>
        </w:rPr>
      </w:pPr>
      <w:r w:rsidRPr="00534428">
        <w:rPr>
          <w:rFonts w:ascii="Arial" w:eastAsiaTheme="minorHAnsi" w:hAnsi="Arial" w:cs="Arial"/>
          <w:b/>
          <w:bCs/>
          <w:sz w:val="22"/>
          <w:szCs w:val="22"/>
          <w:lang w:eastAsia="en-US"/>
          <w14:ligatures w14:val="standardContextual"/>
        </w:rPr>
        <w:t>Assessment</w:t>
      </w:r>
      <w:r w:rsidRPr="00534428">
        <w:rPr>
          <w:rFonts w:ascii="Arial" w:eastAsiaTheme="minorHAnsi" w:hAnsi="Arial" w:cs="Arial"/>
          <w:sz w:val="22"/>
          <w:szCs w:val="22"/>
          <w:lang w:eastAsia="en-US"/>
          <w14:ligatures w14:val="standardContextual"/>
        </w:rPr>
        <w:t xml:space="preserve">: The property Crammer Court lies half within Devizes Conservation Area, with the other half of the building outside the conservation area, however </w:t>
      </w:r>
      <w:r>
        <w:rPr>
          <w:rFonts w:ascii="Arial" w:eastAsiaTheme="minorHAnsi" w:hAnsi="Arial" w:cs="Arial"/>
          <w:sz w:val="22"/>
          <w:szCs w:val="22"/>
          <w:lang w:eastAsia="en-US"/>
          <w14:ligatures w14:val="standardContextual"/>
        </w:rPr>
        <w:t>a</w:t>
      </w:r>
      <w:r w:rsidRPr="00534428">
        <w:rPr>
          <w:rFonts w:ascii="Arial" w:eastAsiaTheme="minorHAnsi" w:hAnsi="Arial" w:cs="Arial"/>
          <w:sz w:val="22"/>
          <w:szCs w:val="22"/>
          <w:lang w:eastAsia="en-US"/>
          <w14:ligatures w14:val="standardContextual"/>
        </w:rPr>
        <w:t>ffecting its setting.</w:t>
      </w:r>
    </w:p>
    <w:p w14:paraId="3A0E4500" w14:textId="77777777" w:rsidR="00534428" w:rsidRPr="00534428" w:rsidRDefault="00534428" w:rsidP="00D075F2">
      <w:pPr>
        <w:kinsoku w:val="0"/>
        <w:overflowPunct w:val="0"/>
        <w:autoSpaceDE w:val="0"/>
        <w:autoSpaceDN w:val="0"/>
        <w:adjustRightInd w:val="0"/>
        <w:spacing w:line="276" w:lineRule="auto"/>
        <w:jc w:val="both"/>
        <w:rPr>
          <w:rFonts w:ascii="Arial" w:eastAsiaTheme="minorHAnsi" w:hAnsi="Arial" w:cs="Arial"/>
          <w:sz w:val="22"/>
          <w:szCs w:val="22"/>
          <w:lang w:eastAsia="en-US"/>
          <w14:ligatures w14:val="standardContextual"/>
        </w:rPr>
      </w:pPr>
    </w:p>
    <w:p w14:paraId="77C70583" w14:textId="2678D083" w:rsidR="00534428" w:rsidRPr="00534428" w:rsidRDefault="00534428" w:rsidP="00D075F2">
      <w:pPr>
        <w:kinsoku w:val="0"/>
        <w:overflowPunct w:val="0"/>
        <w:autoSpaceDE w:val="0"/>
        <w:autoSpaceDN w:val="0"/>
        <w:adjustRightInd w:val="0"/>
        <w:spacing w:line="276" w:lineRule="auto"/>
        <w:ind w:left="2" w:right="134"/>
        <w:jc w:val="both"/>
        <w:rPr>
          <w:rFonts w:ascii="Arial" w:eastAsiaTheme="minorHAnsi" w:hAnsi="Arial" w:cs="Arial"/>
          <w:sz w:val="22"/>
          <w:szCs w:val="22"/>
          <w:lang w:eastAsia="en-US"/>
          <w14:ligatures w14:val="standardContextual"/>
        </w:rPr>
      </w:pPr>
      <w:r w:rsidRPr="00534428">
        <w:rPr>
          <w:rFonts w:ascii="Arial" w:eastAsiaTheme="minorHAnsi" w:hAnsi="Arial" w:cs="Arial"/>
          <w:sz w:val="22"/>
          <w:szCs w:val="22"/>
          <w:lang w:eastAsia="en-US"/>
          <w14:ligatures w14:val="standardContextual"/>
        </w:rPr>
        <w:lastRenderedPageBreak/>
        <w:t>The proposed works</w:t>
      </w:r>
      <w:r w:rsidRPr="00534428">
        <w:rPr>
          <w:rFonts w:ascii="Arial" w:eastAsiaTheme="minorHAnsi" w:hAnsi="Arial" w:cs="Arial"/>
          <w:spacing w:val="-1"/>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are</w:t>
      </w:r>
      <w:r w:rsidRPr="00534428">
        <w:rPr>
          <w:rFonts w:ascii="Arial" w:eastAsiaTheme="minorHAnsi" w:hAnsi="Arial" w:cs="Arial"/>
          <w:spacing w:val="-1"/>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to replace the existing timber</w:t>
      </w:r>
      <w:r w:rsidRPr="00534428">
        <w:rPr>
          <w:rFonts w:ascii="Arial" w:eastAsiaTheme="minorHAnsi" w:hAnsi="Arial" w:cs="Arial"/>
          <w:spacing w:val="-1"/>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windows</w:t>
      </w:r>
      <w:r w:rsidRPr="00534428">
        <w:rPr>
          <w:rFonts w:ascii="Arial" w:eastAsiaTheme="minorHAnsi" w:hAnsi="Arial" w:cs="Arial"/>
          <w:spacing w:val="-1"/>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 xml:space="preserve">with </w:t>
      </w:r>
      <w:proofErr w:type="spellStart"/>
      <w:r w:rsidRPr="00534428">
        <w:rPr>
          <w:rFonts w:ascii="Arial" w:eastAsiaTheme="minorHAnsi" w:hAnsi="Arial" w:cs="Arial"/>
          <w:sz w:val="22"/>
          <w:szCs w:val="22"/>
          <w:lang w:eastAsia="en-US"/>
          <w14:ligatures w14:val="standardContextual"/>
        </w:rPr>
        <w:t>upvc</w:t>
      </w:r>
      <w:proofErr w:type="spellEnd"/>
      <w:r w:rsidRPr="00534428">
        <w:rPr>
          <w:rFonts w:ascii="Arial" w:eastAsiaTheme="minorHAnsi" w:hAnsi="Arial" w:cs="Arial"/>
          <w:spacing w:val="-1"/>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in the half</w:t>
      </w:r>
      <w:r w:rsidRPr="00534428">
        <w:rPr>
          <w:rFonts w:ascii="Arial" w:eastAsiaTheme="minorHAnsi" w:hAnsi="Arial" w:cs="Arial"/>
          <w:spacing w:val="-1"/>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of</w:t>
      </w:r>
      <w:r w:rsidRPr="00534428">
        <w:rPr>
          <w:rFonts w:ascii="Arial" w:eastAsiaTheme="minorHAnsi" w:hAnsi="Arial" w:cs="Arial"/>
          <w:spacing w:val="-3"/>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 xml:space="preserve">the building which lies inside the conservation area. </w:t>
      </w:r>
      <w:r>
        <w:rPr>
          <w:rFonts w:ascii="Arial" w:eastAsiaTheme="minorHAnsi" w:hAnsi="Arial" w:cs="Arial"/>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No other</w:t>
      </w:r>
      <w:r w:rsidRPr="00534428">
        <w:rPr>
          <w:rFonts w:ascii="Arial" w:eastAsiaTheme="minorHAnsi" w:hAnsi="Arial" w:cs="Arial"/>
          <w:spacing w:val="-1"/>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additional works will be carried out other</w:t>
      </w:r>
      <w:r w:rsidRPr="00534428">
        <w:rPr>
          <w:rFonts w:ascii="Arial" w:eastAsiaTheme="minorHAnsi" w:hAnsi="Arial" w:cs="Arial"/>
          <w:spacing w:val="-1"/>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than the</w:t>
      </w:r>
      <w:r>
        <w:rPr>
          <w:rFonts w:ascii="Arial" w:eastAsiaTheme="minorHAnsi" w:hAnsi="Arial" w:cs="Arial"/>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 xml:space="preserve">window replacements. </w:t>
      </w:r>
      <w:proofErr w:type="gramStart"/>
      <w:r w:rsidRPr="00534428">
        <w:rPr>
          <w:rFonts w:ascii="Arial" w:eastAsiaTheme="minorHAnsi" w:hAnsi="Arial" w:cs="Arial"/>
          <w:sz w:val="22"/>
          <w:szCs w:val="22"/>
          <w:lang w:eastAsia="en-US"/>
          <w14:ligatures w14:val="standardContextual"/>
        </w:rPr>
        <w:t>In an attempt to</w:t>
      </w:r>
      <w:proofErr w:type="gramEnd"/>
      <w:r w:rsidRPr="00534428">
        <w:rPr>
          <w:rFonts w:ascii="Arial" w:eastAsiaTheme="minorHAnsi" w:hAnsi="Arial" w:cs="Arial"/>
          <w:sz w:val="22"/>
          <w:szCs w:val="22"/>
          <w:lang w:eastAsia="en-US"/>
          <w14:ligatures w14:val="standardContextual"/>
        </w:rPr>
        <w:t xml:space="preserve"> create a consistent look and replicate the other timber windows on the block, timber effect white </w:t>
      </w:r>
      <w:proofErr w:type="spellStart"/>
      <w:r w:rsidRPr="00534428">
        <w:rPr>
          <w:rFonts w:ascii="Arial" w:eastAsiaTheme="minorHAnsi" w:hAnsi="Arial" w:cs="Arial"/>
          <w:sz w:val="22"/>
          <w:szCs w:val="22"/>
          <w:lang w:eastAsia="en-US"/>
          <w14:ligatures w14:val="standardContextual"/>
        </w:rPr>
        <w:t>upvc</w:t>
      </w:r>
      <w:proofErr w:type="spellEnd"/>
      <w:r w:rsidRPr="00534428">
        <w:rPr>
          <w:rFonts w:ascii="Arial" w:eastAsiaTheme="minorHAnsi" w:hAnsi="Arial" w:cs="Arial"/>
          <w:sz w:val="22"/>
          <w:szCs w:val="22"/>
          <w:lang w:eastAsia="en-US"/>
          <w14:ligatures w14:val="standardContextual"/>
        </w:rPr>
        <w:t xml:space="preserve"> windows with cut joints are proposed </w:t>
      </w:r>
      <w:proofErr w:type="gramStart"/>
      <w:r w:rsidRPr="00534428">
        <w:rPr>
          <w:rFonts w:ascii="Arial" w:eastAsiaTheme="minorHAnsi" w:hAnsi="Arial" w:cs="Arial"/>
          <w:sz w:val="22"/>
          <w:szCs w:val="22"/>
          <w:lang w:eastAsia="en-US"/>
          <w14:ligatures w14:val="standardContextual"/>
        </w:rPr>
        <w:t>in order to</w:t>
      </w:r>
      <w:proofErr w:type="gramEnd"/>
      <w:r w:rsidRPr="00534428">
        <w:rPr>
          <w:rFonts w:ascii="Arial" w:eastAsiaTheme="minorHAnsi" w:hAnsi="Arial" w:cs="Arial"/>
          <w:sz w:val="22"/>
          <w:szCs w:val="22"/>
          <w:lang w:eastAsia="en-US"/>
          <w14:ligatures w14:val="standardContextual"/>
        </w:rPr>
        <w:t xml:space="preserve"> look</w:t>
      </w:r>
      <w:r w:rsidRPr="00534428">
        <w:rPr>
          <w:rFonts w:ascii="Arial" w:eastAsiaTheme="minorHAnsi" w:hAnsi="Arial" w:cs="Arial"/>
          <w:spacing w:val="-3"/>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like</w:t>
      </w:r>
      <w:r w:rsidRPr="00534428">
        <w:rPr>
          <w:rFonts w:ascii="Arial" w:eastAsiaTheme="minorHAnsi" w:hAnsi="Arial" w:cs="Arial"/>
          <w:spacing w:val="-3"/>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the</w:t>
      </w:r>
      <w:r w:rsidRPr="00534428">
        <w:rPr>
          <w:rFonts w:ascii="Arial" w:eastAsiaTheme="minorHAnsi" w:hAnsi="Arial" w:cs="Arial"/>
          <w:spacing w:val="-3"/>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existing</w:t>
      </w:r>
      <w:r w:rsidRPr="00534428">
        <w:rPr>
          <w:rFonts w:ascii="Arial" w:eastAsiaTheme="minorHAnsi" w:hAnsi="Arial" w:cs="Arial"/>
          <w:spacing w:val="-3"/>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timber</w:t>
      </w:r>
      <w:r w:rsidRPr="00534428">
        <w:rPr>
          <w:rFonts w:ascii="Arial" w:eastAsiaTheme="minorHAnsi" w:hAnsi="Arial" w:cs="Arial"/>
          <w:spacing w:val="-3"/>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windows</w:t>
      </w:r>
      <w:r w:rsidRPr="00534428">
        <w:rPr>
          <w:rFonts w:ascii="Arial" w:eastAsiaTheme="minorHAnsi" w:hAnsi="Arial" w:cs="Arial"/>
          <w:spacing w:val="-3"/>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and retaining</w:t>
      </w:r>
      <w:r w:rsidRPr="00534428">
        <w:rPr>
          <w:rFonts w:ascii="Arial" w:eastAsiaTheme="minorHAnsi" w:hAnsi="Arial" w:cs="Arial"/>
          <w:spacing w:val="-4"/>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the</w:t>
      </w:r>
      <w:r w:rsidRPr="00534428">
        <w:rPr>
          <w:rFonts w:ascii="Arial" w:eastAsiaTheme="minorHAnsi" w:hAnsi="Arial" w:cs="Arial"/>
          <w:spacing w:val="-5"/>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existing</w:t>
      </w:r>
      <w:r w:rsidRPr="00534428">
        <w:rPr>
          <w:rFonts w:ascii="Arial" w:eastAsiaTheme="minorHAnsi" w:hAnsi="Arial" w:cs="Arial"/>
          <w:spacing w:val="-4"/>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colour</w:t>
      </w:r>
      <w:r w:rsidRPr="00534428">
        <w:rPr>
          <w:rFonts w:ascii="Arial" w:eastAsiaTheme="minorHAnsi" w:hAnsi="Arial" w:cs="Arial"/>
          <w:spacing w:val="-3"/>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and</w:t>
      </w:r>
      <w:r w:rsidRPr="00534428">
        <w:rPr>
          <w:rFonts w:ascii="Arial" w:eastAsiaTheme="minorHAnsi" w:hAnsi="Arial" w:cs="Arial"/>
          <w:spacing w:val="-5"/>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character of</w:t>
      </w:r>
      <w:r w:rsidRPr="00534428">
        <w:rPr>
          <w:rFonts w:ascii="Arial" w:eastAsiaTheme="minorHAnsi" w:hAnsi="Arial" w:cs="Arial"/>
          <w:spacing w:val="-3"/>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the</w:t>
      </w:r>
      <w:r w:rsidRPr="00534428">
        <w:rPr>
          <w:rFonts w:ascii="Arial" w:eastAsiaTheme="minorHAnsi" w:hAnsi="Arial" w:cs="Arial"/>
          <w:spacing w:val="-5"/>
          <w:sz w:val="22"/>
          <w:szCs w:val="22"/>
          <w:lang w:eastAsia="en-US"/>
          <w14:ligatures w14:val="standardContextual"/>
        </w:rPr>
        <w:t xml:space="preserve"> </w:t>
      </w:r>
      <w:r w:rsidRPr="00534428">
        <w:rPr>
          <w:rFonts w:ascii="Arial" w:eastAsiaTheme="minorHAnsi" w:hAnsi="Arial" w:cs="Arial"/>
          <w:sz w:val="22"/>
          <w:szCs w:val="22"/>
          <w:lang w:eastAsia="en-US"/>
          <w14:ligatures w14:val="standardContextual"/>
        </w:rPr>
        <w:t>building.</w:t>
      </w:r>
    </w:p>
    <w:p w14:paraId="292B70B2" w14:textId="2359B4F3" w:rsidR="00534428" w:rsidRPr="00534428" w:rsidRDefault="00534428" w:rsidP="00D075F2">
      <w:pPr>
        <w:kinsoku w:val="0"/>
        <w:overflowPunct w:val="0"/>
        <w:autoSpaceDE w:val="0"/>
        <w:autoSpaceDN w:val="0"/>
        <w:adjustRightInd w:val="0"/>
        <w:spacing w:line="276" w:lineRule="auto"/>
        <w:ind w:left="2" w:right="129"/>
        <w:jc w:val="both"/>
        <w:rPr>
          <w:rFonts w:ascii="Arial" w:eastAsiaTheme="minorHAnsi" w:hAnsi="Arial" w:cs="Arial"/>
          <w:sz w:val="22"/>
          <w:szCs w:val="22"/>
          <w:lang w:eastAsia="en-US"/>
          <w14:ligatures w14:val="standardContextual"/>
        </w:rPr>
      </w:pPr>
      <w:r w:rsidRPr="00534428">
        <w:rPr>
          <w:rFonts w:ascii="Arial" w:eastAsiaTheme="minorHAnsi" w:hAnsi="Arial" w:cs="Arial"/>
          <w:sz w:val="22"/>
          <w:szCs w:val="22"/>
          <w:lang w:eastAsia="en-US"/>
          <w14:ligatures w14:val="standardContextual"/>
        </w:rPr>
        <w:t>Whilst this part of the building is inside of the conservation area, and the use of UPVC would normally be unacceptable, for the sa</w:t>
      </w:r>
      <w:r w:rsidR="00BA3496">
        <w:rPr>
          <w:rFonts w:ascii="Arial" w:eastAsiaTheme="minorHAnsi" w:hAnsi="Arial" w:cs="Arial"/>
          <w:sz w:val="22"/>
          <w:szCs w:val="22"/>
          <w:lang w:eastAsia="en-US"/>
          <w14:ligatures w14:val="standardContextual"/>
        </w:rPr>
        <w:t>k</w:t>
      </w:r>
      <w:r w:rsidRPr="00534428">
        <w:rPr>
          <w:rFonts w:ascii="Arial" w:eastAsiaTheme="minorHAnsi" w:hAnsi="Arial" w:cs="Arial"/>
          <w:sz w:val="22"/>
          <w:szCs w:val="22"/>
          <w:lang w:eastAsia="en-US"/>
          <w14:ligatures w14:val="standardContextual"/>
        </w:rPr>
        <w:t>e of a unified appearance of the building there is no conservation objection.</w:t>
      </w:r>
    </w:p>
    <w:p w14:paraId="028F2B1E" w14:textId="77777777" w:rsidR="00534428" w:rsidRPr="00534428" w:rsidRDefault="00534428" w:rsidP="00D075F2">
      <w:pPr>
        <w:kinsoku w:val="0"/>
        <w:overflowPunct w:val="0"/>
        <w:autoSpaceDE w:val="0"/>
        <w:autoSpaceDN w:val="0"/>
        <w:adjustRightInd w:val="0"/>
        <w:spacing w:line="276" w:lineRule="auto"/>
        <w:jc w:val="both"/>
        <w:rPr>
          <w:rFonts w:ascii="Arial" w:eastAsiaTheme="minorHAnsi" w:hAnsi="Arial" w:cs="Arial"/>
          <w:sz w:val="22"/>
          <w:szCs w:val="22"/>
          <w:lang w:eastAsia="en-US"/>
          <w14:ligatures w14:val="standardContextual"/>
        </w:rPr>
      </w:pPr>
    </w:p>
    <w:p w14:paraId="4975D831" w14:textId="77777777" w:rsidR="00534428" w:rsidRPr="00534428" w:rsidRDefault="00534428" w:rsidP="00D075F2">
      <w:pPr>
        <w:kinsoku w:val="0"/>
        <w:overflowPunct w:val="0"/>
        <w:autoSpaceDE w:val="0"/>
        <w:autoSpaceDN w:val="0"/>
        <w:adjustRightInd w:val="0"/>
        <w:spacing w:line="276" w:lineRule="auto"/>
        <w:ind w:left="2" w:right="136"/>
        <w:jc w:val="both"/>
        <w:rPr>
          <w:rFonts w:ascii="Arial" w:eastAsiaTheme="minorHAnsi" w:hAnsi="Arial" w:cs="Arial"/>
          <w:spacing w:val="-2"/>
          <w:sz w:val="22"/>
          <w:szCs w:val="22"/>
          <w:lang w:eastAsia="en-US"/>
          <w14:ligatures w14:val="standardContextual"/>
        </w:rPr>
      </w:pPr>
      <w:r w:rsidRPr="00534428">
        <w:rPr>
          <w:rFonts w:ascii="Arial" w:eastAsiaTheme="minorHAnsi" w:hAnsi="Arial" w:cs="Arial"/>
          <w:b/>
          <w:bCs/>
          <w:sz w:val="22"/>
          <w:szCs w:val="22"/>
          <w:lang w:eastAsia="en-US"/>
          <w14:ligatures w14:val="standardContextual"/>
        </w:rPr>
        <w:t>Summary &amp; conclusion</w:t>
      </w:r>
      <w:r w:rsidRPr="00534428">
        <w:rPr>
          <w:rFonts w:ascii="Arial" w:eastAsiaTheme="minorHAnsi" w:hAnsi="Arial" w:cs="Arial"/>
          <w:sz w:val="22"/>
          <w:szCs w:val="22"/>
          <w:lang w:eastAsia="en-US"/>
          <w14:ligatures w14:val="standardContextual"/>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w:t>
      </w:r>
      <w:r w:rsidRPr="00534428">
        <w:rPr>
          <w:rFonts w:ascii="Arial" w:eastAsiaTheme="minorHAnsi" w:hAnsi="Arial" w:cs="Arial"/>
          <w:spacing w:val="-2"/>
          <w:sz w:val="22"/>
          <w:szCs w:val="22"/>
          <w:lang w:eastAsia="en-US"/>
          <w14:ligatures w14:val="standardContextual"/>
        </w:rPr>
        <w:t>justification.</w:t>
      </w:r>
    </w:p>
    <w:p w14:paraId="48F3B5C8" w14:textId="77777777" w:rsidR="00534428" w:rsidRPr="00534428" w:rsidRDefault="00534428" w:rsidP="00D075F2">
      <w:pPr>
        <w:kinsoku w:val="0"/>
        <w:overflowPunct w:val="0"/>
        <w:autoSpaceDE w:val="0"/>
        <w:autoSpaceDN w:val="0"/>
        <w:adjustRightInd w:val="0"/>
        <w:spacing w:line="276" w:lineRule="auto"/>
        <w:jc w:val="both"/>
        <w:rPr>
          <w:rFonts w:ascii="Arial" w:eastAsiaTheme="minorHAnsi" w:hAnsi="Arial" w:cs="Arial"/>
          <w:sz w:val="22"/>
          <w:szCs w:val="22"/>
          <w:lang w:eastAsia="en-US"/>
          <w14:ligatures w14:val="standardContextual"/>
        </w:rPr>
      </w:pPr>
    </w:p>
    <w:p w14:paraId="25CA283E" w14:textId="3790F56F" w:rsidR="00E03EDD" w:rsidRPr="001B3623" w:rsidRDefault="00534428" w:rsidP="00D075F2">
      <w:pPr>
        <w:kinsoku w:val="0"/>
        <w:overflowPunct w:val="0"/>
        <w:autoSpaceDE w:val="0"/>
        <w:autoSpaceDN w:val="0"/>
        <w:adjustRightInd w:val="0"/>
        <w:spacing w:line="276" w:lineRule="auto"/>
        <w:ind w:left="2" w:right="142"/>
        <w:jc w:val="both"/>
        <w:rPr>
          <w:rFonts w:ascii="Arial" w:eastAsiaTheme="minorHAnsi" w:hAnsi="Arial" w:cs="Arial"/>
          <w:lang w:eastAsia="en-US"/>
          <w14:ligatures w14:val="standardContextual"/>
        </w:rPr>
      </w:pPr>
      <w:r w:rsidRPr="00534428">
        <w:rPr>
          <w:rFonts w:ascii="Arial" w:eastAsiaTheme="minorHAnsi" w:hAnsi="Arial" w:cs="Arial"/>
          <w:sz w:val="22"/>
          <w:szCs w:val="22"/>
          <w:lang w:eastAsia="en-US"/>
          <w14:ligatures w14:val="standardContextual"/>
        </w:rPr>
        <w:t xml:space="preserve">The impact of the proposals on heritage assets will be </w:t>
      </w:r>
      <w:proofErr w:type="gramStart"/>
      <w:r w:rsidRPr="00534428">
        <w:rPr>
          <w:rFonts w:ascii="Arial" w:eastAsiaTheme="minorHAnsi" w:hAnsi="Arial" w:cs="Arial"/>
          <w:sz w:val="22"/>
          <w:szCs w:val="22"/>
          <w:lang w:eastAsia="en-US"/>
          <w14:ligatures w14:val="standardContextual"/>
        </w:rPr>
        <w:t>neutral</w:t>
      </w:r>
      <w:proofErr w:type="gramEnd"/>
      <w:r w:rsidRPr="00534428">
        <w:rPr>
          <w:rFonts w:ascii="Arial" w:eastAsiaTheme="minorHAnsi" w:hAnsi="Arial" w:cs="Arial"/>
          <w:sz w:val="22"/>
          <w:szCs w:val="22"/>
          <w:lang w:eastAsia="en-US"/>
          <w14:ligatures w14:val="standardContextual"/>
        </w:rPr>
        <w:t xml:space="preserve"> and the requirements of current conservation legislation, policy or guidance </w:t>
      </w:r>
      <w:proofErr w:type="gramStart"/>
      <w:r w:rsidRPr="00534428">
        <w:rPr>
          <w:rFonts w:ascii="Arial" w:eastAsiaTheme="minorHAnsi" w:hAnsi="Arial" w:cs="Arial"/>
          <w:sz w:val="22"/>
          <w:szCs w:val="22"/>
          <w:lang w:eastAsia="en-US"/>
          <w14:ligatures w14:val="standardContextual"/>
        </w:rPr>
        <w:t>are considered to be</w:t>
      </w:r>
      <w:proofErr w:type="gramEnd"/>
      <w:r w:rsidRPr="00534428">
        <w:rPr>
          <w:rFonts w:ascii="Arial" w:eastAsiaTheme="minorHAnsi" w:hAnsi="Arial" w:cs="Arial"/>
          <w:sz w:val="22"/>
          <w:szCs w:val="22"/>
          <w:lang w:eastAsia="en-US"/>
          <w14:ligatures w14:val="standardContextual"/>
        </w:rPr>
        <w:t xml:space="preserve"> met and there is therefore no objection to the approval of the application</w:t>
      </w:r>
      <w:r w:rsidRPr="00534428">
        <w:rPr>
          <w:rFonts w:ascii="Arial" w:eastAsiaTheme="minorHAnsi" w:hAnsi="Arial" w:cs="Arial"/>
          <w:lang w:eastAsia="en-US"/>
          <w14:ligatures w14:val="standardContextual"/>
        </w:rPr>
        <w:t>.</w:t>
      </w:r>
    </w:p>
    <w:p w14:paraId="36A95DEC" w14:textId="77777777" w:rsidR="00316C37" w:rsidRDefault="00316C37" w:rsidP="7D84FC5F">
      <w:pPr>
        <w:spacing w:line="276" w:lineRule="auto"/>
        <w:jc w:val="both"/>
        <w:rPr>
          <w:rFonts w:ascii="Arial" w:hAnsi="Arial" w:cs="Arial"/>
          <w:b/>
          <w:bCs/>
          <w:sz w:val="22"/>
          <w:szCs w:val="22"/>
        </w:rPr>
      </w:pPr>
    </w:p>
    <w:p w14:paraId="1A84E4DA" w14:textId="77777777" w:rsidR="00E03EDD" w:rsidRDefault="00E03EDD" w:rsidP="7D84FC5F">
      <w:pPr>
        <w:spacing w:line="276" w:lineRule="auto"/>
        <w:jc w:val="both"/>
        <w:rPr>
          <w:rFonts w:ascii="Arial" w:hAnsi="Arial" w:cs="Arial"/>
          <w:b/>
          <w:bCs/>
          <w:sz w:val="22"/>
          <w:szCs w:val="22"/>
        </w:rPr>
      </w:pPr>
    </w:p>
    <w:p w14:paraId="774C48EC"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5C162B85"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5990850D" w14:textId="77777777" w:rsidR="00D45219" w:rsidRPr="00336FA4" w:rsidRDefault="00D45219" w:rsidP="00D45219">
      <w:pPr>
        <w:spacing w:line="276" w:lineRule="auto"/>
        <w:jc w:val="both"/>
        <w:rPr>
          <w:rFonts w:ascii="Arial" w:hAnsi="Arial" w:cs="Arial"/>
          <w:i/>
          <w:iCs/>
          <w:color w:val="000000" w:themeColor="text1"/>
          <w:sz w:val="22"/>
          <w:szCs w:val="22"/>
        </w:rPr>
      </w:pPr>
    </w:p>
    <w:p w14:paraId="184D279B"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53377B51" w14:textId="77777777" w:rsidR="00D075F2" w:rsidRDefault="00D075F2" w:rsidP="00336FA4">
      <w:pPr>
        <w:spacing w:line="276" w:lineRule="auto"/>
        <w:jc w:val="both"/>
        <w:rPr>
          <w:rFonts w:ascii="Arial" w:hAnsi="Arial" w:cs="Arial"/>
          <w:color w:val="000000" w:themeColor="text1"/>
          <w:sz w:val="22"/>
          <w:szCs w:val="22"/>
        </w:rPr>
      </w:pPr>
    </w:p>
    <w:p w14:paraId="2C86AE4C" w14:textId="77777777" w:rsidR="00D075F2" w:rsidRPr="00D075F2" w:rsidRDefault="00D075F2" w:rsidP="00D075F2">
      <w:pPr>
        <w:spacing w:line="276" w:lineRule="auto"/>
        <w:jc w:val="both"/>
        <w:rPr>
          <w:rFonts w:ascii="Arial" w:hAnsi="Arial" w:cs="Arial"/>
          <w:color w:val="000000" w:themeColor="text1"/>
          <w:sz w:val="22"/>
          <w:szCs w:val="22"/>
        </w:rPr>
      </w:pPr>
      <w:r w:rsidRPr="00D075F2">
        <w:rPr>
          <w:rFonts w:ascii="Arial" w:hAnsi="Arial" w:cs="Arial"/>
          <w:color w:val="000000" w:themeColor="text1"/>
          <w:sz w:val="22"/>
          <w:szCs w:val="22"/>
        </w:rPr>
        <w:t>In this case, the proposal relates solely to replacement windows, with no new openings being created. As such, the development does not introduce any additional opportunities for overlooking, loss of privacy, or other amenity impacts. Accordingly, no new amenity issues arise beyond the existing established situation.</w:t>
      </w:r>
    </w:p>
    <w:p w14:paraId="3C035586" w14:textId="77777777" w:rsidR="00F1263F" w:rsidRDefault="00F1263F" w:rsidP="7D84FC5F">
      <w:pPr>
        <w:spacing w:line="276" w:lineRule="auto"/>
        <w:jc w:val="both"/>
        <w:rPr>
          <w:rFonts w:ascii="Arial" w:hAnsi="Arial" w:cs="Arial"/>
          <w:i/>
          <w:iCs/>
          <w:color w:val="FF0000"/>
          <w:sz w:val="22"/>
          <w:szCs w:val="22"/>
        </w:rPr>
      </w:pPr>
    </w:p>
    <w:p w14:paraId="060C6DB1" w14:textId="77777777" w:rsidR="00D075F2" w:rsidRDefault="00D075F2" w:rsidP="7D84FC5F">
      <w:pPr>
        <w:spacing w:line="276" w:lineRule="auto"/>
        <w:jc w:val="both"/>
        <w:rPr>
          <w:rFonts w:ascii="Arial" w:hAnsi="Arial" w:cs="Arial"/>
          <w:i/>
          <w:iCs/>
          <w:color w:val="FF0000"/>
          <w:sz w:val="22"/>
          <w:szCs w:val="22"/>
        </w:rPr>
      </w:pPr>
    </w:p>
    <w:p w14:paraId="66F4D955"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5A42820C"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4483DCFA" w14:textId="77777777" w:rsidR="00053F09" w:rsidRPr="00053F09" w:rsidRDefault="00053F09" w:rsidP="00053F09">
      <w:pPr>
        <w:spacing w:line="276" w:lineRule="auto"/>
        <w:jc w:val="both"/>
        <w:rPr>
          <w:rFonts w:ascii="Arial" w:hAnsi="Arial" w:cs="Arial"/>
          <w:sz w:val="22"/>
          <w:szCs w:val="22"/>
        </w:rPr>
      </w:pPr>
    </w:p>
    <w:p w14:paraId="11C13BC3"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2" w:name="_Hlk118712062"/>
      <w:r w:rsidRPr="00053F09">
        <w:rPr>
          <w:rFonts w:ascii="Arial" w:hAnsi="Arial" w:cs="Arial"/>
          <w:sz w:val="22"/>
          <w:szCs w:val="22"/>
        </w:rPr>
        <w:t>that protect areas or assets of particular importance</w:t>
      </w:r>
      <w:bookmarkEnd w:id="2"/>
      <w:r w:rsidRPr="00053F09">
        <w:rPr>
          <w:rFonts w:ascii="Arial" w:hAnsi="Arial" w:cs="Arial"/>
          <w:sz w:val="22"/>
          <w:szCs w:val="22"/>
        </w:rPr>
        <w:t xml:space="preserve"> provides a clear reason for refusing development proposed; or</w:t>
      </w:r>
    </w:p>
    <w:p w14:paraId="3D1E729E"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541FFBE0" w14:textId="77777777" w:rsidR="00943755" w:rsidRDefault="00943755" w:rsidP="00943755">
      <w:pPr>
        <w:spacing w:line="276" w:lineRule="auto"/>
        <w:jc w:val="both"/>
        <w:rPr>
          <w:rFonts w:ascii="Arial" w:hAnsi="Arial" w:cs="Arial"/>
          <w:sz w:val="22"/>
          <w:szCs w:val="22"/>
        </w:rPr>
      </w:pPr>
    </w:p>
    <w:p w14:paraId="6798E71D" w14:textId="26C5AD4C" w:rsidR="005B323F" w:rsidRPr="005B323F" w:rsidRDefault="005B323F" w:rsidP="005B323F">
      <w:pPr>
        <w:spacing w:line="276" w:lineRule="auto"/>
        <w:jc w:val="both"/>
        <w:rPr>
          <w:rFonts w:ascii="Arial" w:eastAsia="Arial" w:hAnsi="Arial" w:cs="Arial"/>
          <w:sz w:val="22"/>
          <w:szCs w:val="22"/>
        </w:rPr>
      </w:pPr>
      <w:r w:rsidRPr="005B323F">
        <w:rPr>
          <w:rFonts w:ascii="Arial" w:eastAsia="Arial" w:hAnsi="Arial" w:cs="Arial"/>
          <w:sz w:val="22"/>
          <w:szCs w:val="22"/>
        </w:rPr>
        <w:lastRenderedPageBreak/>
        <w:t xml:space="preserve">In weighing the planning balance, the proposals for the replacement of timber windows with uPVC are considered </w:t>
      </w:r>
      <w:proofErr w:type="gramStart"/>
      <w:r w:rsidRPr="005B323F">
        <w:rPr>
          <w:rFonts w:ascii="Arial" w:eastAsia="Arial" w:hAnsi="Arial" w:cs="Arial"/>
          <w:sz w:val="22"/>
          <w:szCs w:val="22"/>
        </w:rPr>
        <w:t>in light of the fact that</w:t>
      </w:r>
      <w:proofErr w:type="gramEnd"/>
      <w:r w:rsidRPr="005B323F">
        <w:rPr>
          <w:rFonts w:ascii="Arial" w:eastAsia="Arial" w:hAnsi="Arial" w:cs="Arial"/>
          <w:sz w:val="22"/>
          <w:szCs w:val="22"/>
        </w:rPr>
        <w:t xml:space="preserve"> there is an established precedent for this form of development on this building, under the 2023</w:t>
      </w:r>
      <w:r>
        <w:rPr>
          <w:rFonts w:ascii="Arial" w:eastAsia="Arial" w:hAnsi="Arial" w:cs="Arial"/>
          <w:sz w:val="22"/>
          <w:szCs w:val="22"/>
        </w:rPr>
        <w:t xml:space="preserve"> and 2025</w:t>
      </w:r>
      <w:r w:rsidRPr="005B323F">
        <w:rPr>
          <w:rFonts w:ascii="Arial" w:eastAsia="Arial" w:hAnsi="Arial" w:cs="Arial"/>
          <w:sz w:val="22"/>
          <w:szCs w:val="22"/>
        </w:rPr>
        <w:t xml:space="preserve"> Permission</w:t>
      </w:r>
      <w:r>
        <w:rPr>
          <w:rFonts w:ascii="Arial" w:eastAsia="Arial" w:hAnsi="Arial" w:cs="Arial"/>
          <w:sz w:val="22"/>
          <w:szCs w:val="22"/>
        </w:rPr>
        <w:t>s</w:t>
      </w:r>
      <w:r w:rsidRPr="005B323F">
        <w:rPr>
          <w:rFonts w:ascii="Arial" w:eastAsia="Arial" w:hAnsi="Arial" w:cs="Arial"/>
          <w:sz w:val="22"/>
          <w:szCs w:val="22"/>
        </w:rPr>
        <w:t xml:space="preserve">.  </w:t>
      </w:r>
      <w:r w:rsidR="00793169">
        <w:rPr>
          <w:rFonts w:ascii="Arial" w:eastAsia="Arial" w:hAnsi="Arial" w:cs="Arial"/>
          <w:sz w:val="22"/>
          <w:szCs w:val="22"/>
        </w:rPr>
        <w:t>For completeness and in</w:t>
      </w:r>
      <w:r w:rsidRPr="005B323F">
        <w:rPr>
          <w:rFonts w:ascii="Arial" w:eastAsia="Arial" w:hAnsi="Arial" w:cs="Arial"/>
          <w:sz w:val="22"/>
          <w:szCs w:val="22"/>
        </w:rPr>
        <w:t xml:space="preserve"> the interests of maintaining consistency</w:t>
      </w:r>
      <w:r w:rsidR="00793169">
        <w:rPr>
          <w:rFonts w:ascii="Arial" w:eastAsia="Arial" w:hAnsi="Arial" w:cs="Arial"/>
          <w:sz w:val="22"/>
          <w:szCs w:val="22"/>
        </w:rPr>
        <w:t xml:space="preserve"> and a cohesive appearance</w:t>
      </w:r>
      <w:r w:rsidRPr="005B323F">
        <w:rPr>
          <w:rFonts w:ascii="Arial" w:eastAsia="Arial" w:hAnsi="Arial" w:cs="Arial"/>
          <w:sz w:val="22"/>
          <w:szCs w:val="22"/>
        </w:rPr>
        <w:t xml:space="preserve"> in terms of the window materials on this building, the proposals </w:t>
      </w:r>
      <w:proofErr w:type="gramStart"/>
      <w:r w:rsidRPr="005B323F">
        <w:rPr>
          <w:rFonts w:ascii="Arial" w:eastAsia="Arial" w:hAnsi="Arial" w:cs="Arial"/>
          <w:sz w:val="22"/>
          <w:szCs w:val="22"/>
        </w:rPr>
        <w:t>are considered to be</w:t>
      </w:r>
      <w:proofErr w:type="gramEnd"/>
      <w:r w:rsidRPr="005B323F">
        <w:rPr>
          <w:rFonts w:ascii="Arial" w:eastAsia="Arial" w:hAnsi="Arial" w:cs="Arial"/>
          <w:sz w:val="22"/>
          <w:szCs w:val="22"/>
        </w:rPr>
        <w:t xml:space="preserve"> acceptable.  </w:t>
      </w:r>
    </w:p>
    <w:p w14:paraId="6FE73F3D" w14:textId="77777777" w:rsidR="005B323F" w:rsidRPr="005B323F" w:rsidRDefault="005B323F" w:rsidP="005B323F">
      <w:pPr>
        <w:spacing w:line="276" w:lineRule="auto"/>
        <w:jc w:val="both"/>
        <w:rPr>
          <w:rFonts w:ascii="Arial" w:hAnsi="Arial" w:cs="Arial"/>
          <w:sz w:val="22"/>
          <w:szCs w:val="22"/>
        </w:rPr>
      </w:pPr>
    </w:p>
    <w:p w14:paraId="15720318" w14:textId="77777777" w:rsidR="005B323F" w:rsidRPr="005B323F" w:rsidRDefault="005B323F" w:rsidP="005B323F">
      <w:pPr>
        <w:spacing w:line="276" w:lineRule="auto"/>
        <w:jc w:val="both"/>
        <w:rPr>
          <w:rFonts w:ascii="Arial" w:hAnsi="Arial" w:cs="Arial"/>
          <w:color w:val="000000" w:themeColor="text1"/>
          <w:sz w:val="22"/>
          <w:szCs w:val="22"/>
        </w:rPr>
      </w:pPr>
    </w:p>
    <w:p w14:paraId="51ED73FA" w14:textId="77777777" w:rsidR="005B323F" w:rsidRPr="005B323F" w:rsidRDefault="005B323F" w:rsidP="005B323F">
      <w:pPr>
        <w:spacing w:line="276" w:lineRule="auto"/>
        <w:jc w:val="both"/>
        <w:rPr>
          <w:rFonts w:ascii="Arial" w:hAnsi="Arial" w:cs="Arial"/>
          <w:i/>
          <w:iCs/>
          <w:sz w:val="22"/>
          <w:szCs w:val="22"/>
        </w:rPr>
      </w:pPr>
      <w:r w:rsidRPr="005B323F">
        <w:rPr>
          <w:rFonts w:ascii="Arial" w:hAnsi="Arial" w:cs="Arial"/>
          <w:b/>
          <w:bCs/>
          <w:color w:val="000000" w:themeColor="text1"/>
          <w:sz w:val="22"/>
          <w:szCs w:val="22"/>
        </w:rPr>
        <w:t>RECOMMENDATION</w:t>
      </w:r>
      <w:r w:rsidRPr="005B323F">
        <w:rPr>
          <w:rFonts w:ascii="Arial" w:hAnsi="Arial" w:cs="Arial"/>
          <w:color w:val="000000" w:themeColor="text1"/>
          <w:sz w:val="22"/>
          <w:szCs w:val="22"/>
        </w:rPr>
        <w:t xml:space="preserve">: </w:t>
      </w:r>
      <w:r w:rsidRPr="005B323F">
        <w:rPr>
          <w:rFonts w:ascii="Arial" w:hAnsi="Arial" w:cs="Arial"/>
          <w:b/>
          <w:bCs/>
          <w:color w:val="000000" w:themeColor="text1"/>
          <w:sz w:val="22"/>
          <w:szCs w:val="22"/>
        </w:rPr>
        <w:t xml:space="preserve">That Planning Permission be GRANTED, subject to conditions. </w:t>
      </w:r>
    </w:p>
    <w:p w14:paraId="075D4EE4" w14:textId="77777777" w:rsidR="00F7609E" w:rsidRPr="009904EF" w:rsidRDefault="00F7609E" w:rsidP="7D84FC5F">
      <w:pPr>
        <w:rPr>
          <w:rFonts w:ascii="Arial" w:hAnsi="Arial" w:cs="Arial"/>
          <w:sz w:val="22"/>
          <w:szCs w:val="22"/>
        </w:rPr>
      </w:pPr>
    </w:p>
    <w:p w14:paraId="5A94551D" w14:textId="77777777" w:rsidR="009904EF" w:rsidRPr="009904EF" w:rsidRDefault="009904EF" w:rsidP="7D84FC5F">
      <w:pPr>
        <w:rPr>
          <w:rFonts w:ascii="Arial" w:hAnsi="Arial" w:cs="Arial"/>
          <w:sz w:val="22"/>
          <w:szCs w:val="22"/>
        </w:rPr>
      </w:pPr>
    </w:p>
    <w:sectPr w:rsidR="009904EF" w:rsidRPr="009904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0"/>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39"/>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6"/>
  </w:num>
  <w:num w:numId="15" w16cid:durableId="287931387">
    <w:abstractNumId w:val="38"/>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7"/>
  </w:num>
  <w:num w:numId="27" w16cid:durableId="1619068546">
    <w:abstractNumId w:val="15"/>
  </w:num>
  <w:num w:numId="28" w16cid:durableId="1460490708">
    <w:abstractNumId w:val="27"/>
  </w:num>
  <w:num w:numId="29" w16cid:durableId="6713544">
    <w:abstractNumId w:val="46"/>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2"/>
  </w:num>
  <w:num w:numId="36" w16cid:durableId="1034232417">
    <w:abstractNumId w:val="7"/>
  </w:num>
  <w:num w:numId="37" w16cid:durableId="2062092020">
    <w:abstractNumId w:val="43"/>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5"/>
  </w:num>
  <w:num w:numId="45" w16cid:durableId="2053261774">
    <w:abstractNumId w:val="41"/>
  </w:num>
  <w:num w:numId="46" w16cid:durableId="788477969">
    <w:abstractNumId w:val="44"/>
  </w:num>
  <w:num w:numId="47" w16cid:durableId="2053916891">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6AED"/>
    <w:rsid w:val="0002128A"/>
    <w:rsid w:val="00024030"/>
    <w:rsid w:val="0002490A"/>
    <w:rsid w:val="00035D59"/>
    <w:rsid w:val="00043528"/>
    <w:rsid w:val="0004756B"/>
    <w:rsid w:val="00051208"/>
    <w:rsid w:val="00053F09"/>
    <w:rsid w:val="00061168"/>
    <w:rsid w:val="0006523B"/>
    <w:rsid w:val="000666EE"/>
    <w:rsid w:val="00067BEE"/>
    <w:rsid w:val="0007377C"/>
    <w:rsid w:val="000877F9"/>
    <w:rsid w:val="00097010"/>
    <w:rsid w:val="000A78E4"/>
    <w:rsid w:val="000B4065"/>
    <w:rsid w:val="000B4E91"/>
    <w:rsid w:val="000C0D1A"/>
    <w:rsid w:val="000C3DBC"/>
    <w:rsid w:val="000C773F"/>
    <w:rsid w:val="000D0858"/>
    <w:rsid w:val="000D6E26"/>
    <w:rsid w:val="000E189E"/>
    <w:rsid w:val="000E2EAB"/>
    <w:rsid w:val="000E3FD8"/>
    <w:rsid w:val="000E59B7"/>
    <w:rsid w:val="000E62BA"/>
    <w:rsid w:val="000F1D49"/>
    <w:rsid w:val="000F2BDF"/>
    <w:rsid w:val="00107D4F"/>
    <w:rsid w:val="001171CC"/>
    <w:rsid w:val="00130BE7"/>
    <w:rsid w:val="00157709"/>
    <w:rsid w:val="00173387"/>
    <w:rsid w:val="001778D6"/>
    <w:rsid w:val="001873F2"/>
    <w:rsid w:val="001A33F3"/>
    <w:rsid w:val="001A62B4"/>
    <w:rsid w:val="001B3623"/>
    <w:rsid w:val="00200743"/>
    <w:rsid w:val="002014BE"/>
    <w:rsid w:val="00204E4E"/>
    <w:rsid w:val="00211B6E"/>
    <w:rsid w:val="0021435E"/>
    <w:rsid w:val="0021750A"/>
    <w:rsid w:val="00222BAA"/>
    <w:rsid w:val="00224D90"/>
    <w:rsid w:val="0022685C"/>
    <w:rsid w:val="00230405"/>
    <w:rsid w:val="00235243"/>
    <w:rsid w:val="00237634"/>
    <w:rsid w:val="00250212"/>
    <w:rsid w:val="002552D4"/>
    <w:rsid w:val="00262CDC"/>
    <w:rsid w:val="002738A0"/>
    <w:rsid w:val="0029187E"/>
    <w:rsid w:val="0029208D"/>
    <w:rsid w:val="002920BF"/>
    <w:rsid w:val="002927C8"/>
    <w:rsid w:val="002B00DE"/>
    <w:rsid w:val="002B0BE1"/>
    <w:rsid w:val="002B47D2"/>
    <w:rsid w:val="002D63A7"/>
    <w:rsid w:val="002E4B31"/>
    <w:rsid w:val="003007EC"/>
    <w:rsid w:val="003066D0"/>
    <w:rsid w:val="00307886"/>
    <w:rsid w:val="00312C7F"/>
    <w:rsid w:val="00316C37"/>
    <w:rsid w:val="00327312"/>
    <w:rsid w:val="00331BA0"/>
    <w:rsid w:val="00336FA4"/>
    <w:rsid w:val="003440E3"/>
    <w:rsid w:val="0035216D"/>
    <w:rsid w:val="00352A11"/>
    <w:rsid w:val="00355C32"/>
    <w:rsid w:val="003905FB"/>
    <w:rsid w:val="003A0320"/>
    <w:rsid w:val="003C606B"/>
    <w:rsid w:val="003D5959"/>
    <w:rsid w:val="0042402B"/>
    <w:rsid w:val="0043749E"/>
    <w:rsid w:val="00445EAD"/>
    <w:rsid w:val="0047642D"/>
    <w:rsid w:val="00477CC4"/>
    <w:rsid w:val="004817FB"/>
    <w:rsid w:val="00482421"/>
    <w:rsid w:val="004825BC"/>
    <w:rsid w:val="00482DB3"/>
    <w:rsid w:val="004901C5"/>
    <w:rsid w:val="004C0337"/>
    <w:rsid w:val="004C243D"/>
    <w:rsid w:val="004C3265"/>
    <w:rsid w:val="004C4FA0"/>
    <w:rsid w:val="004D311D"/>
    <w:rsid w:val="004F328C"/>
    <w:rsid w:val="004F6854"/>
    <w:rsid w:val="005131B9"/>
    <w:rsid w:val="005138AB"/>
    <w:rsid w:val="00515B1F"/>
    <w:rsid w:val="00516886"/>
    <w:rsid w:val="00520340"/>
    <w:rsid w:val="005277E3"/>
    <w:rsid w:val="0053079B"/>
    <w:rsid w:val="00532780"/>
    <w:rsid w:val="00533E0C"/>
    <w:rsid w:val="00534428"/>
    <w:rsid w:val="0054068B"/>
    <w:rsid w:val="00543309"/>
    <w:rsid w:val="005509AC"/>
    <w:rsid w:val="00562C98"/>
    <w:rsid w:val="005729CC"/>
    <w:rsid w:val="00575A8D"/>
    <w:rsid w:val="00587773"/>
    <w:rsid w:val="005A03A2"/>
    <w:rsid w:val="005B323F"/>
    <w:rsid w:val="005F3C5A"/>
    <w:rsid w:val="005F4A4B"/>
    <w:rsid w:val="00610E2C"/>
    <w:rsid w:val="0061252A"/>
    <w:rsid w:val="00624C01"/>
    <w:rsid w:val="006411AB"/>
    <w:rsid w:val="006420A7"/>
    <w:rsid w:val="00643C57"/>
    <w:rsid w:val="00646832"/>
    <w:rsid w:val="006477C7"/>
    <w:rsid w:val="00651BEE"/>
    <w:rsid w:val="00653FB0"/>
    <w:rsid w:val="00662DA8"/>
    <w:rsid w:val="006736A6"/>
    <w:rsid w:val="00680DA9"/>
    <w:rsid w:val="00683C17"/>
    <w:rsid w:val="00684637"/>
    <w:rsid w:val="00685471"/>
    <w:rsid w:val="00686B43"/>
    <w:rsid w:val="006A65F4"/>
    <w:rsid w:val="006A7E1F"/>
    <w:rsid w:val="006B2E50"/>
    <w:rsid w:val="006C603D"/>
    <w:rsid w:val="006C77FD"/>
    <w:rsid w:val="006C7831"/>
    <w:rsid w:val="006C7EB1"/>
    <w:rsid w:val="006D37EB"/>
    <w:rsid w:val="006F0799"/>
    <w:rsid w:val="006F1FF0"/>
    <w:rsid w:val="006F5FC1"/>
    <w:rsid w:val="00714CEF"/>
    <w:rsid w:val="00722BAC"/>
    <w:rsid w:val="0073177E"/>
    <w:rsid w:val="007535C1"/>
    <w:rsid w:val="0076592F"/>
    <w:rsid w:val="00765BC6"/>
    <w:rsid w:val="00765EEE"/>
    <w:rsid w:val="00776F23"/>
    <w:rsid w:val="007842F1"/>
    <w:rsid w:val="00793169"/>
    <w:rsid w:val="007C3182"/>
    <w:rsid w:val="007E67D4"/>
    <w:rsid w:val="007E6A47"/>
    <w:rsid w:val="007E6DC5"/>
    <w:rsid w:val="007F0006"/>
    <w:rsid w:val="007F1885"/>
    <w:rsid w:val="007F548E"/>
    <w:rsid w:val="007F695C"/>
    <w:rsid w:val="00805896"/>
    <w:rsid w:val="00807170"/>
    <w:rsid w:val="0080760A"/>
    <w:rsid w:val="008076FB"/>
    <w:rsid w:val="00813106"/>
    <w:rsid w:val="00820D83"/>
    <w:rsid w:val="008231F6"/>
    <w:rsid w:val="00831AC7"/>
    <w:rsid w:val="008408BF"/>
    <w:rsid w:val="008410F1"/>
    <w:rsid w:val="00847997"/>
    <w:rsid w:val="00850833"/>
    <w:rsid w:val="00860FB0"/>
    <w:rsid w:val="008651DA"/>
    <w:rsid w:val="008745B7"/>
    <w:rsid w:val="00883BF4"/>
    <w:rsid w:val="008A6B33"/>
    <w:rsid w:val="008B0B16"/>
    <w:rsid w:val="008D3380"/>
    <w:rsid w:val="008E0002"/>
    <w:rsid w:val="008E59DE"/>
    <w:rsid w:val="008F5BE4"/>
    <w:rsid w:val="009111C2"/>
    <w:rsid w:val="00916070"/>
    <w:rsid w:val="009223E2"/>
    <w:rsid w:val="0092586B"/>
    <w:rsid w:val="00940706"/>
    <w:rsid w:val="00942BFA"/>
    <w:rsid w:val="00943755"/>
    <w:rsid w:val="009602BD"/>
    <w:rsid w:val="009613A4"/>
    <w:rsid w:val="00970A8A"/>
    <w:rsid w:val="009735D8"/>
    <w:rsid w:val="00977209"/>
    <w:rsid w:val="009811B3"/>
    <w:rsid w:val="00984231"/>
    <w:rsid w:val="00985E84"/>
    <w:rsid w:val="009904EF"/>
    <w:rsid w:val="00994116"/>
    <w:rsid w:val="009A5F16"/>
    <w:rsid w:val="009C3071"/>
    <w:rsid w:val="009D0560"/>
    <w:rsid w:val="009E1642"/>
    <w:rsid w:val="00A16EA1"/>
    <w:rsid w:val="00A26FDC"/>
    <w:rsid w:val="00A313CE"/>
    <w:rsid w:val="00A36633"/>
    <w:rsid w:val="00A41153"/>
    <w:rsid w:val="00A55161"/>
    <w:rsid w:val="00A55DA1"/>
    <w:rsid w:val="00A57783"/>
    <w:rsid w:val="00A64314"/>
    <w:rsid w:val="00A656D4"/>
    <w:rsid w:val="00A71295"/>
    <w:rsid w:val="00A71C3E"/>
    <w:rsid w:val="00A82351"/>
    <w:rsid w:val="00AA499E"/>
    <w:rsid w:val="00AE1C41"/>
    <w:rsid w:val="00AF25E2"/>
    <w:rsid w:val="00AF45AE"/>
    <w:rsid w:val="00B0100C"/>
    <w:rsid w:val="00B07BE6"/>
    <w:rsid w:val="00B32039"/>
    <w:rsid w:val="00B341CC"/>
    <w:rsid w:val="00B45C5F"/>
    <w:rsid w:val="00B5382E"/>
    <w:rsid w:val="00B623A1"/>
    <w:rsid w:val="00B65B2D"/>
    <w:rsid w:val="00B711B0"/>
    <w:rsid w:val="00B75EF9"/>
    <w:rsid w:val="00B81A07"/>
    <w:rsid w:val="00B913B9"/>
    <w:rsid w:val="00B91F7C"/>
    <w:rsid w:val="00B92B88"/>
    <w:rsid w:val="00B944FE"/>
    <w:rsid w:val="00BA3496"/>
    <w:rsid w:val="00BB182D"/>
    <w:rsid w:val="00BB1BA6"/>
    <w:rsid w:val="00BB62A4"/>
    <w:rsid w:val="00BB696C"/>
    <w:rsid w:val="00BC3471"/>
    <w:rsid w:val="00BC3F9A"/>
    <w:rsid w:val="00BD52EF"/>
    <w:rsid w:val="00BE6683"/>
    <w:rsid w:val="00BE75C9"/>
    <w:rsid w:val="00BE7A9F"/>
    <w:rsid w:val="00C049E8"/>
    <w:rsid w:val="00C15984"/>
    <w:rsid w:val="00C760C4"/>
    <w:rsid w:val="00CC3BFB"/>
    <w:rsid w:val="00CC51B9"/>
    <w:rsid w:val="00CF2475"/>
    <w:rsid w:val="00CF2835"/>
    <w:rsid w:val="00CF67E2"/>
    <w:rsid w:val="00D030B2"/>
    <w:rsid w:val="00D075F2"/>
    <w:rsid w:val="00D101B5"/>
    <w:rsid w:val="00D12140"/>
    <w:rsid w:val="00D14841"/>
    <w:rsid w:val="00D33471"/>
    <w:rsid w:val="00D428D4"/>
    <w:rsid w:val="00D45219"/>
    <w:rsid w:val="00D60FF7"/>
    <w:rsid w:val="00D662F9"/>
    <w:rsid w:val="00D859CC"/>
    <w:rsid w:val="00D902FA"/>
    <w:rsid w:val="00D943CB"/>
    <w:rsid w:val="00DA3A4D"/>
    <w:rsid w:val="00DB2721"/>
    <w:rsid w:val="00DB43F8"/>
    <w:rsid w:val="00DB6E79"/>
    <w:rsid w:val="00DD1AF1"/>
    <w:rsid w:val="00DF3CCE"/>
    <w:rsid w:val="00E016EF"/>
    <w:rsid w:val="00E03670"/>
    <w:rsid w:val="00E03EDD"/>
    <w:rsid w:val="00E058EC"/>
    <w:rsid w:val="00E15D98"/>
    <w:rsid w:val="00E24994"/>
    <w:rsid w:val="00E32704"/>
    <w:rsid w:val="00E35059"/>
    <w:rsid w:val="00E3526F"/>
    <w:rsid w:val="00E37463"/>
    <w:rsid w:val="00E42E64"/>
    <w:rsid w:val="00E436D6"/>
    <w:rsid w:val="00E66C08"/>
    <w:rsid w:val="00E70D98"/>
    <w:rsid w:val="00E83E98"/>
    <w:rsid w:val="00E87BE7"/>
    <w:rsid w:val="00EA19AA"/>
    <w:rsid w:val="00EA523D"/>
    <w:rsid w:val="00EB63F1"/>
    <w:rsid w:val="00EC2E4E"/>
    <w:rsid w:val="00EC3964"/>
    <w:rsid w:val="00EC5090"/>
    <w:rsid w:val="00ED33CD"/>
    <w:rsid w:val="00ED79C7"/>
    <w:rsid w:val="00EE41D6"/>
    <w:rsid w:val="00EE5C03"/>
    <w:rsid w:val="00EE6040"/>
    <w:rsid w:val="00EE7C23"/>
    <w:rsid w:val="00F005A4"/>
    <w:rsid w:val="00F02C87"/>
    <w:rsid w:val="00F124BA"/>
    <w:rsid w:val="00F1263F"/>
    <w:rsid w:val="00F12D8E"/>
    <w:rsid w:val="00F2151B"/>
    <w:rsid w:val="00F2477F"/>
    <w:rsid w:val="00F37FAD"/>
    <w:rsid w:val="00F42EA6"/>
    <w:rsid w:val="00F514A2"/>
    <w:rsid w:val="00F7017C"/>
    <w:rsid w:val="00F73585"/>
    <w:rsid w:val="00F7609E"/>
    <w:rsid w:val="00F801C2"/>
    <w:rsid w:val="00F81518"/>
    <w:rsid w:val="00F81970"/>
    <w:rsid w:val="00F850DD"/>
    <w:rsid w:val="00F86303"/>
    <w:rsid w:val="00FC7067"/>
    <w:rsid w:val="00FD05E3"/>
    <w:rsid w:val="00FD3E4B"/>
    <w:rsid w:val="00FD4FDF"/>
    <w:rsid w:val="00FD64A0"/>
    <w:rsid w:val="00FE063C"/>
    <w:rsid w:val="00FF08C3"/>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9E282"/>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test-idfield-value">
    <w:name w:val="test-id__field-value"/>
    <w:basedOn w:val="DefaultParagraphFont"/>
    <w:rsid w:val="000C3DBC"/>
  </w:style>
  <w:style w:type="character" w:customStyle="1" w:styleId="fontstyle01">
    <w:name w:val="fontstyle01"/>
    <w:basedOn w:val="DefaultParagraphFont"/>
    <w:rsid w:val="00BE7A9F"/>
    <w:rPr>
      <w:rFonts w:ascii="Arial-BoldMT" w:hAnsi="Arial-BoldMT" w:hint="default"/>
      <w:b/>
      <w:bCs/>
      <w:i w:val="0"/>
      <w:iCs w:val="0"/>
      <w:color w:val="000000"/>
      <w:sz w:val="24"/>
      <w:szCs w:val="24"/>
    </w:rPr>
  </w:style>
  <w:style w:type="character" w:customStyle="1" w:styleId="fontstyle11">
    <w:name w:val="fontstyle11"/>
    <w:basedOn w:val="DefaultParagraphFont"/>
    <w:rsid w:val="00BE7A9F"/>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7</Pages>
  <Words>2325</Words>
  <Characters>12720</Characters>
  <Application>Microsoft Office Word</Application>
  <DocSecurity>0</DocSecurity>
  <Lines>302</Lines>
  <Paragraphs>115</Paragraphs>
  <ScaleCrop>false</ScaleCrop>
  <Company/>
  <LinksUpToDate>false</LinksUpToDate>
  <CharactersWithSpaces>14930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salesforceId:e7e5fae9-ab84-4223-ac03-fd39cb59af5a</dc:subject>
  <dc:creator>O'Donoghue, Ruaridh</dc:creator>
  <cp:keywords/>
  <dc:description/>
  <cp:lastModifiedBy>O'Donoghue, Ruaridh</cp:lastModifiedBy>
  <cp:revision>110</cp:revision>
  <dcterms:created xsi:type="dcterms:W3CDTF">2026-03-23T14:48:00Z</dcterms:created>
  <dcterms:modified xsi:type="dcterms:W3CDTF">2026-03-24T08:46:00Z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069Q300000NfGelIAF</vt:lpwstr>
  </property>
</Properties>
</file>