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95A11" w14:textId="1852454B"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E63542">
        <w:rPr>
          <w:rFonts w:ascii="Arial" w:hAnsi="Arial" w:cs="Arial"/>
          <w:b/>
          <w:bCs/>
          <w:sz w:val="28"/>
          <w:szCs w:val="28"/>
        </w:rPr>
        <w:t>–</w:t>
      </w:r>
      <w:r w:rsidR="00322977">
        <w:rPr>
          <w:rFonts w:ascii="Arial" w:hAnsi="Arial" w:cs="Arial"/>
          <w:b/>
          <w:bCs/>
          <w:sz w:val="28"/>
          <w:szCs w:val="28"/>
        </w:rPr>
        <w:t xml:space="preserve"> </w:t>
      </w:r>
      <w:r w:rsidR="000967D2">
        <w:rPr>
          <w:rFonts w:ascii="Arial" w:hAnsi="Arial" w:cs="Arial"/>
          <w:b/>
          <w:bCs/>
          <w:sz w:val="28"/>
          <w:szCs w:val="28"/>
        </w:rPr>
        <w:t>DEMOLITION</w:t>
      </w:r>
      <w:r w:rsidR="00E63542">
        <w:rPr>
          <w:rFonts w:ascii="Arial" w:hAnsi="Arial" w:cs="Arial"/>
          <w:b/>
          <w:bCs/>
          <w:sz w:val="28"/>
          <w:szCs w:val="28"/>
        </w:rPr>
        <w:t xml:space="preserve"> (PART </w:t>
      </w:r>
      <w:r w:rsidR="002175ED">
        <w:rPr>
          <w:rFonts w:ascii="Arial" w:hAnsi="Arial" w:cs="Arial"/>
          <w:b/>
          <w:bCs/>
          <w:sz w:val="28"/>
          <w:szCs w:val="28"/>
        </w:rPr>
        <w:t>11 CLASS B GPDO)</w:t>
      </w:r>
    </w:p>
    <w:p w14:paraId="71D1091A"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7B571CDC" w14:textId="77777777" w:rsidR="00353313" w:rsidRDefault="00C94D9F" w:rsidP="00DA1B44">
      <w:pPr>
        <w:spacing w:line="276" w:lineRule="auto"/>
      </w:pPr>
      <w:r>
        <w:rPr>
          <w:rFonts w:ascii="Arial" w:eastAsia="Arial" w:hAnsi="Arial" w:cs="Arial"/>
          <w:sz w:val="22"/>
          <w:szCs w:val="22"/>
        </w:rPr>
        <w:t> </w:t>
      </w:r>
    </w:p>
    <w:p w14:paraId="57FB0BD9"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A5ED86B" w14:textId="77777777" w:rsidTr="00FE1C7D">
        <w:trPr>
          <w:trHeight w:val="288"/>
        </w:trPr>
        <w:tc>
          <w:tcPr>
            <w:tcW w:w="4219" w:type="dxa"/>
          </w:tcPr>
          <w:p w14:paraId="55025B4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5674654B" w14:textId="649DEF4D" w:rsidR="00FE1C7D" w:rsidRPr="00FE1C7D" w:rsidRDefault="00D5171A" w:rsidP="00FE1C7D">
            <w:pPr>
              <w:spacing w:line="276" w:lineRule="auto"/>
              <w:jc w:val="both"/>
              <w:rPr>
                <w:rFonts w:ascii="Arial" w:hAnsi="Arial" w:cs="Arial"/>
                <w:sz w:val="22"/>
                <w:szCs w:val="22"/>
              </w:rPr>
            </w:pPr>
            <w:r w:rsidRPr="00D5171A">
              <w:rPr>
                <w:rFonts w:ascii="Arial" w:hAnsi="Arial" w:cs="Arial"/>
                <w:sz w:val="22"/>
                <w:szCs w:val="22"/>
              </w:rPr>
              <w:t>PL/2026/00788</w:t>
            </w:r>
          </w:p>
        </w:tc>
      </w:tr>
      <w:tr w:rsidR="00FE1C7D" w14:paraId="1776A03C" w14:textId="77777777" w:rsidTr="00FE1C7D">
        <w:trPr>
          <w:trHeight w:val="288"/>
        </w:trPr>
        <w:tc>
          <w:tcPr>
            <w:tcW w:w="4219" w:type="dxa"/>
          </w:tcPr>
          <w:p w14:paraId="33A1697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2581050" w14:textId="5B030DE8" w:rsidR="00FE1C7D" w:rsidRPr="00D5171A" w:rsidRDefault="00D5171A" w:rsidP="00FE1C7D">
            <w:pPr>
              <w:spacing w:line="276" w:lineRule="auto"/>
              <w:jc w:val="both"/>
              <w:rPr>
                <w:rFonts w:ascii="Arial" w:hAnsi="Arial" w:cs="Arial"/>
                <w:sz w:val="22"/>
                <w:szCs w:val="22"/>
              </w:rPr>
            </w:pPr>
            <w:r w:rsidRPr="00D5171A">
              <w:rPr>
                <w:rFonts w:ascii="Arial" w:hAnsi="Arial" w:cs="Arial"/>
                <w:sz w:val="22"/>
                <w:szCs w:val="22"/>
              </w:rPr>
              <w:t>Prior notification: Demolition</w:t>
            </w:r>
          </w:p>
        </w:tc>
      </w:tr>
      <w:tr w:rsidR="00FE1C7D" w14:paraId="3CC01411" w14:textId="77777777" w:rsidTr="00FE1C7D">
        <w:trPr>
          <w:trHeight w:val="288"/>
        </w:trPr>
        <w:tc>
          <w:tcPr>
            <w:tcW w:w="4219" w:type="dxa"/>
          </w:tcPr>
          <w:p w14:paraId="3CEDE91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0E1452FB" w14:textId="3D6072AA" w:rsidR="00FE1C7D" w:rsidRPr="00D5171A" w:rsidRDefault="00D5171A" w:rsidP="00FE1C7D">
            <w:pPr>
              <w:spacing w:line="276" w:lineRule="auto"/>
              <w:jc w:val="both"/>
              <w:rPr>
                <w:rFonts w:ascii="Arial" w:hAnsi="Arial" w:cs="Arial"/>
                <w:sz w:val="22"/>
                <w:szCs w:val="22"/>
              </w:rPr>
            </w:pPr>
            <w:r w:rsidRPr="00D5171A">
              <w:rPr>
                <w:rFonts w:ascii="Arial" w:hAnsi="Arial" w:cs="Arial"/>
                <w:sz w:val="22"/>
                <w:szCs w:val="22"/>
              </w:rPr>
              <w:t>Building JE 0 060, Tidworth Garrison, Kirkee Road, SP9 7BN</w:t>
            </w:r>
          </w:p>
        </w:tc>
      </w:tr>
      <w:tr w:rsidR="00FE1C7D" w14:paraId="5DD1370E" w14:textId="77777777" w:rsidTr="00FE1C7D">
        <w:trPr>
          <w:trHeight w:val="288"/>
        </w:trPr>
        <w:tc>
          <w:tcPr>
            <w:tcW w:w="4219" w:type="dxa"/>
          </w:tcPr>
          <w:p w14:paraId="2FCEA273"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53ADA30" w14:textId="6F1FE24F" w:rsidR="00FE1C7D" w:rsidRPr="00D5171A" w:rsidRDefault="00D5171A" w:rsidP="00FE1C7D">
            <w:pPr>
              <w:spacing w:line="276" w:lineRule="auto"/>
              <w:jc w:val="both"/>
              <w:rPr>
                <w:rFonts w:ascii="Arial" w:hAnsi="Arial" w:cs="Arial"/>
                <w:sz w:val="22"/>
                <w:szCs w:val="22"/>
              </w:rPr>
            </w:pPr>
            <w:r w:rsidRPr="00D5171A">
              <w:rPr>
                <w:rFonts w:ascii="Arial" w:hAnsi="Arial" w:cs="Arial"/>
                <w:sz w:val="22"/>
                <w:szCs w:val="22"/>
              </w:rPr>
              <w:t>Prior notification of demolition for redundant building (JE 0 060), a single storey military office building.</w:t>
            </w:r>
          </w:p>
        </w:tc>
      </w:tr>
      <w:tr w:rsidR="00FE1C7D" w14:paraId="66E9E528" w14:textId="77777777" w:rsidTr="00FE1C7D">
        <w:trPr>
          <w:trHeight w:val="288"/>
        </w:trPr>
        <w:tc>
          <w:tcPr>
            <w:tcW w:w="4219" w:type="dxa"/>
          </w:tcPr>
          <w:p w14:paraId="3E3A093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537FBFB2" w14:textId="0F482D25" w:rsidR="00FE1C7D" w:rsidRPr="00FE1C7D" w:rsidRDefault="00D5171A" w:rsidP="00FE1C7D">
            <w:pPr>
              <w:spacing w:line="276" w:lineRule="auto"/>
              <w:jc w:val="both"/>
              <w:rPr>
                <w:rFonts w:ascii="Arial" w:hAnsi="Arial" w:cs="Arial"/>
                <w:sz w:val="22"/>
                <w:szCs w:val="22"/>
              </w:rPr>
            </w:pPr>
            <w:r>
              <w:rPr>
                <w:rFonts w:ascii="Arial" w:hAnsi="Arial" w:cs="Arial"/>
                <w:sz w:val="22"/>
                <w:szCs w:val="22"/>
              </w:rPr>
              <w:t xml:space="preserve">Prior Approval Not Required </w:t>
            </w:r>
          </w:p>
        </w:tc>
      </w:tr>
    </w:tbl>
    <w:p w14:paraId="36091309" w14:textId="77777777" w:rsidR="00353313" w:rsidRDefault="00353313" w:rsidP="00DA1B44">
      <w:pPr>
        <w:spacing w:line="276" w:lineRule="auto"/>
        <w:rPr>
          <w:rFonts w:ascii="Arial" w:eastAsia="Arial" w:hAnsi="Arial" w:cs="Arial"/>
          <w:sz w:val="22"/>
          <w:szCs w:val="22"/>
        </w:rPr>
      </w:pPr>
    </w:p>
    <w:p w14:paraId="152C2281" w14:textId="77777777" w:rsidR="00353313" w:rsidRDefault="00C94D9F" w:rsidP="00DA1B44">
      <w:pPr>
        <w:spacing w:line="276" w:lineRule="auto"/>
        <w:rPr>
          <w:sz w:val="22"/>
          <w:szCs w:val="22"/>
        </w:rPr>
      </w:pPr>
      <w:r>
        <w:rPr>
          <w:rFonts w:ascii="Arial" w:eastAsia="Arial" w:hAnsi="Arial" w:cs="Arial"/>
          <w:sz w:val="22"/>
          <w:szCs w:val="22"/>
        </w:rPr>
        <w:t> </w:t>
      </w:r>
    </w:p>
    <w:p w14:paraId="5934675C" w14:textId="77777777" w:rsidR="00353313" w:rsidRDefault="003614C1" w:rsidP="00DA1B44">
      <w:pPr>
        <w:pStyle w:val="Heading2"/>
      </w:pPr>
      <w:r w:rsidRPr="003614C1">
        <w:t>SITE DESCRIPTION</w:t>
      </w:r>
      <w:r w:rsidR="006D7761">
        <w:t>/CONTEXT</w:t>
      </w:r>
    </w:p>
    <w:p w14:paraId="4A6E0C9D" w14:textId="77777777" w:rsidR="00470AC1" w:rsidRDefault="00470AC1" w:rsidP="00DA1B44">
      <w:pPr>
        <w:spacing w:line="276" w:lineRule="auto"/>
        <w:jc w:val="both"/>
        <w:rPr>
          <w:rFonts w:ascii="Arial" w:hAnsi="Arial" w:cs="Arial"/>
          <w:color w:val="FF0000"/>
          <w:sz w:val="22"/>
          <w:szCs w:val="22"/>
        </w:rPr>
      </w:pPr>
    </w:p>
    <w:p w14:paraId="7FB51CE2" w14:textId="19FD4A1F" w:rsidR="00156955" w:rsidRPr="003A02DA" w:rsidRDefault="00D5171A" w:rsidP="00D7069C">
      <w:pPr>
        <w:spacing w:line="276" w:lineRule="auto"/>
        <w:ind w:right="-666"/>
        <w:jc w:val="both"/>
        <w:rPr>
          <w:rFonts w:ascii="Arial" w:hAnsi="Arial" w:cs="Arial"/>
          <w:sz w:val="22"/>
          <w:szCs w:val="22"/>
        </w:rPr>
      </w:pPr>
      <w:r w:rsidRPr="003A02DA">
        <w:rPr>
          <w:rFonts w:ascii="Arial" w:hAnsi="Arial" w:cs="Arial"/>
          <w:sz w:val="22"/>
          <w:szCs w:val="22"/>
        </w:rPr>
        <w:t xml:space="preserve">The application relates to a single storey office building, believed to have been constructed between 1945-1961. The building is constructed in brick with a flat concrete, felt roof, metal framed windows and concrete sills and lintels. </w:t>
      </w:r>
      <w:r w:rsidR="00315E63" w:rsidRPr="003A02DA">
        <w:rPr>
          <w:rFonts w:ascii="Arial" w:hAnsi="Arial" w:cs="Arial"/>
          <w:sz w:val="22"/>
          <w:szCs w:val="22"/>
        </w:rPr>
        <w:t xml:space="preserve">The building is positioned between two Grade II listed Barrack Block Buildings (nos. 57 and 62) is </w:t>
      </w:r>
      <w:r w:rsidR="003A02DA" w:rsidRPr="003A02DA">
        <w:rPr>
          <w:rFonts w:ascii="Arial" w:hAnsi="Arial" w:cs="Arial"/>
          <w:sz w:val="22"/>
          <w:szCs w:val="22"/>
        </w:rPr>
        <w:t>near</w:t>
      </w:r>
      <w:r w:rsidR="00315E63" w:rsidRPr="003A02DA">
        <w:rPr>
          <w:rFonts w:ascii="Arial" w:hAnsi="Arial" w:cs="Arial"/>
          <w:sz w:val="22"/>
          <w:szCs w:val="22"/>
        </w:rPr>
        <w:t xml:space="preserve"> two further Barrack Block Buildings (nos. 56 and 61) </w:t>
      </w:r>
      <w:r w:rsidR="003A02DA" w:rsidRPr="003A02DA">
        <w:rPr>
          <w:rFonts w:ascii="Arial" w:hAnsi="Arial" w:cs="Arial"/>
          <w:sz w:val="22"/>
          <w:szCs w:val="22"/>
        </w:rPr>
        <w:t>and</w:t>
      </w:r>
      <w:r w:rsidR="00315E63" w:rsidRPr="003A02DA">
        <w:rPr>
          <w:rFonts w:ascii="Arial" w:hAnsi="Arial" w:cs="Arial"/>
          <w:sz w:val="22"/>
          <w:szCs w:val="22"/>
        </w:rPr>
        <w:t xml:space="preserve"> the Grade II listed Guard House. The site falls within the Tidworth Garrison, which lies within/forms part of the built environment of Tidworth </w:t>
      </w:r>
      <w:r w:rsidR="003A02DA">
        <w:rPr>
          <w:rFonts w:ascii="Arial" w:hAnsi="Arial" w:cs="Arial"/>
          <w:sz w:val="22"/>
          <w:szCs w:val="22"/>
        </w:rPr>
        <w:t xml:space="preserve">and </w:t>
      </w:r>
      <w:r w:rsidR="00315E63" w:rsidRPr="003A02DA">
        <w:rPr>
          <w:rFonts w:ascii="Arial" w:hAnsi="Arial" w:cs="Arial"/>
          <w:sz w:val="22"/>
          <w:szCs w:val="22"/>
        </w:rPr>
        <w:t>is within the limits of development. Other constraints within the site include the Salisbury Plain</w:t>
      </w:r>
      <w:r w:rsidR="00D7069C" w:rsidRPr="003A02DA">
        <w:rPr>
          <w:rFonts w:ascii="Arial" w:hAnsi="Arial" w:cs="Arial"/>
          <w:sz w:val="22"/>
          <w:szCs w:val="22"/>
        </w:rPr>
        <w:t xml:space="preserve"> Special Protected Area (SPA)</w:t>
      </w:r>
      <w:r w:rsidR="00315E63" w:rsidRPr="003A02DA">
        <w:rPr>
          <w:rFonts w:ascii="Arial" w:hAnsi="Arial" w:cs="Arial"/>
          <w:sz w:val="22"/>
          <w:szCs w:val="22"/>
        </w:rPr>
        <w:t xml:space="preserve"> </w:t>
      </w:r>
      <w:r w:rsidR="00D7069C" w:rsidRPr="003A02DA">
        <w:rPr>
          <w:rFonts w:ascii="Arial" w:hAnsi="Arial" w:cs="Arial"/>
          <w:sz w:val="22"/>
          <w:szCs w:val="22"/>
        </w:rPr>
        <w:t>(</w:t>
      </w:r>
      <w:r w:rsidR="00315E63" w:rsidRPr="003A02DA">
        <w:rPr>
          <w:rFonts w:ascii="Arial" w:hAnsi="Arial" w:cs="Arial"/>
          <w:sz w:val="22"/>
          <w:szCs w:val="22"/>
        </w:rPr>
        <w:t>6.4km buffer zone</w:t>
      </w:r>
      <w:r w:rsidR="00D7069C" w:rsidRPr="003A02DA">
        <w:rPr>
          <w:rFonts w:ascii="Arial" w:hAnsi="Arial" w:cs="Arial"/>
          <w:sz w:val="22"/>
          <w:szCs w:val="22"/>
        </w:rPr>
        <w:t xml:space="preserve">), and the Hampshire River Avon Catchment Zone. </w:t>
      </w:r>
      <w:r w:rsidR="00315E63" w:rsidRPr="003A02DA">
        <w:rPr>
          <w:rFonts w:ascii="Arial" w:hAnsi="Arial" w:cs="Arial"/>
          <w:sz w:val="22"/>
          <w:szCs w:val="22"/>
        </w:rPr>
        <w:t xml:space="preserve"> </w:t>
      </w:r>
    </w:p>
    <w:p w14:paraId="6221F685" w14:textId="77777777" w:rsidR="00353313" w:rsidRDefault="00C94D9F" w:rsidP="00DA1B44">
      <w:pPr>
        <w:spacing w:line="276" w:lineRule="auto"/>
        <w:jc w:val="both"/>
        <w:rPr>
          <w:sz w:val="22"/>
          <w:szCs w:val="22"/>
        </w:rPr>
      </w:pPr>
      <w:r>
        <w:rPr>
          <w:rFonts w:ascii="Arial" w:eastAsia="Arial" w:hAnsi="Arial" w:cs="Arial"/>
          <w:sz w:val="22"/>
          <w:szCs w:val="22"/>
        </w:rPr>
        <w:t> </w:t>
      </w:r>
    </w:p>
    <w:p w14:paraId="4BFB4639"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01C1E6DB" w14:textId="77777777" w:rsidR="009B77E1" w:rsidRDefault="009B77E1" w:rsidP="00DA1B44">
      <w:pPr>
        <w:spacing w:line="276" w:lineRule="auto"/>
        <w:jc w:val="both"/>
        <w:rPr>
          <w:rFonts w:ascii="Arial" w:eastAsia="Arial" w:hAnsi="Arial" w:cs="Arial"/>
          <w:b/>
          <w:bCs/>
          <w:sz w:val="22"/>
          <w:szCs w:val="22"/>
        </w:rPr>
      </w:pPr>
    </w:p>
    <w:p w14:paraId="62A0B647" w14:textId="68CC3C74" w:rsidR="00156955" w:rsidRDefault="003A02DA" w:rsidP="00DA1B44">
      <w:pPr>
        <w:spacing w:line="276" w:lineRule="auto"/>
        <w:jc w:val="both"/>
        <w:rPr>
          <w:rFonts w:ascii="Arial" w:eastAsia="Arial" w:hAnsi="Arial" w:cs="Arial"/>
          <w:sz w:val="22"/>
          <w:szCs w:val="22"/>
        </w:rPr>
      </w:pPr>
      <w:r w:rsidRPr="003A02DA">
        <w:rPr>
          <w:rFonts w:ascii="Arial" w:eastAsia="Arial" w:hAnsi="Arial" w:cs="Arial"/>
          <w:sz w:val="22"/>
          <w:szCs w:val="22"/>
        </w:rPr>
        <w:t>Demolition works will be undertaken within the secure garrison boundary, with the site enclosed by Heras fencing to create a safe exclusion zone. Following health and safety inductions and utility isolation, asbestos will be removed by a licensed contractor in accordance with legal requirements. The building will then be soft</w:t>
      </w:r>
      <w:r w:rsidRPr="003A02DA">
        <w:rPr>
          <w:rFonts w:ascii="Cambria Math" w:eastAsia="Arial" w:hAnsi="Cambria Math" w:cs="Cambria Math"/>
          <w:sz w:val="22"/>
          <w:szCs w:val="22"/>
        </w:rPr>
        <w:t>‑</w:t>
      </w:r>
      <w:r w:rsidRPr="003A02DA">
        <w:rPr>
          <w:rFonts w:ascii="Arial" w:eastAsia="Arial" w:hAnsi="Arial" w:cs="Arial"/>
          <w:sz w:val="22"/>
          <w:szCs w:val="22"/>
        </w:rPr>
        <w:t>stripped before mechanical demolition is carried out using an excavator and suitable attachments, following recognised demolition standards (including BS 6187:2011). Materials will be segregated for recycling, and rubble will be removed off</w:t>
      </w:r>
      <w:r w:rsidRPr="003A02DA">
        <w:rPr>
          <w:rFonts w:ascii="Cambria Math" w:eastAsia="Arial" w:hAnsi="Cambria Math" w:cs="Cambria Math"/>
          <w:sz w:val="22"/>
          <w:szCs w:val="22"/>
        </w:rPr>
        <w:t>‑</w:t>
      </w:r>
      <w:r w:rsidRPr="003A02DA">
        <w:rPr>
          <w:rFonts w:ascii="Arial" w:eastAsia="Arial" w:hAnsi="Arial" w:cs="Arial"/>
          <w:sz w:val="22"/>
          <w:szCs w:val="22"/>
        </w:rPr>
        <w:t>site for processing into reusable hardcore. Foundations will be broken out, the ground proof</w:t>
      </w:r>
      <w:r w:rsidRPr="003A02DA">
        <w:rPr>
          <w:rFonts w:ascii="Cambria Math" w:eastAsia="Arial" w:hAnsi="Cambria Math" w:cs="Cambria Math"/>
          <w:sz w:val="22"/>
          <w:szCs w:val="22"/>
        </w:rPr>
        <w:t>‑</w:t>
      </w:r>
      <w:r w:rsidRPr="003A02DA">
        <w:rPr>
          <w:rFonts w:ascii="Arial" w:eastAsia="Arial" w:hAnsi="Arial" w:cs="Arial"/>
          <w:sz w:val="22"/>
          <w:szCs w:val="22"/>
        </w:rPr>
        <w:t>dug to remove obstructions, levelled, and finally restored through topsoil and grass seeding.</w:t>
      </w:r>
    </w:p>
    <w:p w14:paraId="4AAA6AE9" w14:textId="77777777" w:rsidR="003A02DA" w:rsidRPr="003A02DA" w:rsidRDefault="003A02DA" w:rsidP="00DA1B44">
      <w:pPr>
        <w:spacing w:line="276" w:lineRule="auto"/>
        <w:jc w:val="both"/>
        <w:rPr>
          <w:rFonts w:ascii="Arial" w:eastAsia="Arial" w:hAnsi="Arial" w:cs="Arial"/>
          <w:sz w:val="22"/>
          <w:szCs w:val="22"/>
        </w:rPr>
      </w:pPr>
    </w:p>
    <w:p w14:paraId="4A7DA047" w14:textId="77777777" w:rsidR="00353313" w:rsidRDefault="00156955" w:rsidP="00DA1B44">
      <w:pPr>
        <w:pStyle w:val="Heading2"/>
      </w:pPr>
      <w:r>
        <w:t>RELEVANT PLANNING HISTORY </w:t>
      </w:r>
    </w:p>
    <w:p w14:paraId="507A9F81"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17394257" w14:textId="77777777" w:rsidTr="00FE1C7D">
        <w:trPr>
          <w:trHeight w:hRule="exact" w:val="20"/>
        </w:trPr>
        <w:tc>
          <w:tcPr>
            <w:tcW w:w="9771" w:type="dxa"/>
            <w:tcBorders>
              <w:bottom w:val="single" w:sz="6" w:space="0" w:color="auto"/>
            </w:tcBorders>
            <w:vAlign w:val="center"/>
            <w:hideMark/>
          </w:tcPr>
          <w:p w14:paraId="0B45FE4B" w14:textId="77777777" w:rsidR="00FE1C7D" w:rsidRDefault="00FE1C7D" w:rsidP="0024185A">
            <w:pPr>
              <w:rPr>
                <w:sz w:val="2"/>
              </w:rPr>
            </w:pPr>
            <w:bookmarkStart w:id="0" w:name="_bc9eaa23_7b84_4e11_8860_67eb8bbe0c9e"/>
          </w:p>
        </w:tc>
      </w:tr>
      <w:tr w:rsidR="00FE1C7D" w:rsidRPr="003E74F7" w14:paraId="04D0362F"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0AB2B4D6"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230254F1" w14:textId="77777777" w:rsidTr="0004114C">
        <w:trPr>
          <w:trHeight w:val="305"/>
        </w:trPr>
        <w:tc>
          <w:tcPr>
            <w:tcW w:w="9771" w:type="dxa"/>
            <w:tcBorders>
              <w:top w:val="single" w:sz="12" w:space="0" w:color="auto"/>
            </w:tcBorders>
            <w:vAlign w:val="center"/>
            <w:hideMark/>
          </w:tcPr>
          <w:p w14:paraId="079CBCC4" w14:textId="2D2CA4BF" w:rsidR="00FE1C7D" w:rsidRPr="003E74F7" w:rsidRDefault="003A02DA" w:rsidP="0024185A">
            <w:pPr>
              <w:rPr>
                <w:rFonts w:ascii="Arial" w:hAnsi="Arial" w:cs="Arial"/>
              </w:rPr>
            </w:pPr>
            <w:r w:rsidRPr="003A02DA">
              <w:rPr>
                <w:rFonts w:ascii="Arial" w:hAnsi="Arial" w:cs="Arial"/>
              </w:rPr>
              <w:t>K/46111/O - Outline Planning Decision - Approve with Conditions Date: 5/2/2004 – Redevelopment of military barracks in connection with project Allenby/Connaught</w:t>
            </w:r>
          </w:p>
        </w:tc>
      </w:tr>
      <w:tr w:rsidR="00FE1C7D" w:rsidRPr="003E74F7" w14:paraId="1CA793B5" w14:textId="77777777" w:rsidTr="00FE1C7D">
        <w:tc>
          <w:tcPr>
            <w:tcW w:w="9771" w:type="dxa"/>
            <w:vAlign w:val="center"/>
            <w:hideMark/>
          </w:tcPr>
          <w:p w14:paraId="2B815BB2" w14:textId="77777777" w:rsidR="00FE1C7D" w:rsidRPr="003E74F7" w:rsidRDefault="00FE1C7D" w:rsidP="0024185A">
            <w:pPr>
              <w:rPr>
                <w:rFonts w:ascii="Arial" w:hAnsi="Arial" w:cs="Arial"/>
              </w:rPr>
            </w:pPr>
          </w:p>
        </w:tc>
      </w:tr>
      <w:bookmarkEnd w:id="0"/>
    </w:tbl>
    <w:p w14:paraId="63DA4AA3" w14:textId="77777777" w:rsidR="000F3482" w:rsidRDefault="000F3482" w:rsidP="00DA1B44">
      <w:pPr>
        <w:spacing w:line="276" w:lineRule="auto"/>
        <w:jc w:val="both"/>
        <w:rPr>
          <w:sz w:val="22"/>
          <w:szCs w:val="22"/>
        </w:rPr>
      </w:pPr>
    </w:p>
    <w:p w14:paraId="486E3EC8" w14:textId="77777777" w:rsidR="009F69B1" w:rsidRDefault="009F69B1" w:rsidP="00DA1B44">
      <w:pPr>
        <w:spacing w:line="276" w:lineRule="auto"/>
        <w:jc w:val="both"/>
        <w:rPr>
          <w:rFonts w:ascii="Arial" w:hAnsi="Arial" w:cs="Arial"/>
          <w:b/>
          <w:bCs/>
          <w:sz w:val="22"/>
          <w:szCs w:val="22"/>
        </w:rPr>
      </w:pPr>
    </w:p>
    <w:p w14:paraId="486B6A41" w14:textId="02BD361D"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POLICY</w:t>
      </w:r>
      <w:r w:rsidR="0071275A">
        <w:rPr>
          <w:rFonts w:ascii="Arial" w:hAnsi="Arial" w:cs="Arial"/>
          <w:b/>
          <w:bCs/>
          <w:sz w:val="22"/>
          <w:szCs w:val="22"/>
        </w:rPr>
        <w:t>,</w:t>
      </w:r>
      <w:r w:rsidR="004B4F23">
        <w:rPr>
          <w:rFonts w:ascii="Arial" w:hAnsi="Arial" w:cs="Arial"/>
          <w:b/>
          <w:bCs/>
          <w:sz w:val="22"/>
          <w:szCs w:val="22"/>
        </w:rPr>
        <w:t xml:space="preserve"> GUIDANCE </w:t>
      </w:r>
      <w:r w:rsidR="0071275A">
        <w:rPr>
          <w:rFonts w:ascii="Arial" w:hAnsi="Arial" w:cs="Arial"/>
          <w:b/>
          <w:bCs/>
          <w:sz w:val="22"/>
          <w:szCs w:val="22"/>
        </w:rPr>
        <w:t>AND PROCEDURES</w:t>
      </w:r>
    </w:p>
    <w:p w14:paraId="5BD81328"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 xml:space="preserve">This application is assessed under Article 3 of the Town and Country Planning (General Permitted Development) (England) Order 2015 (as amended), which grants planning permission for certain types of development described in Schedule 2 of the Order. The grant of permission is subject to </w:t>
      </w:r>
      <w:r w:rsidRPr="00383A91">
        <w:rPr>
          <w:rFonts w:ascii="Arial" w:eastAsia="Arial" w:hAnsi="Arial" w:cs="Arial"/>
          <w:sz w:val="22"/>
          <w:szCs w:val="22"/>
        </w:rPr>
        <w:lastRenderedPageBreak/>
        <w:t>the limitations, conditions, and provisions set out within the relevant Classes of permitted development.</w:t>
      </w:r>
    </w:p>
    <w:p w14:paraId="0B63D3AE" w14:textId="77777777" w:rsidR="002A7B01" w:rsidRPr="00383A91" w:rsidRDefault="002A7B01" w:rsidP="00DA1B44">
      <w:pPr>
        <w:spacing w:line="276" w:lineRule="auto"/>
        <w:jc w:val="both"/>
        <w:rPr>
          <w:rFonts w:ascii="Arial" w:eastAsia="Arial" w:hAnsi="Arial" w:cs="Arial"/>
          <w:sz w:val="22"/>
          <w:szCs w:val="22"/>
        </w:rPr>
      </w:pPr>
    </w:p>
    <w:p w14:paraId="0FBC6E24" w14:textId="2F5761DD"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 xml:space="preserve">Under Schedule 2, Part </w:t>
      </w:r>
      <w:r w:rsidR="00BB6027">
        <w:rPr>
          <w:rFonts w:ascii="Arial" w:hAnsi="Arial" w:cs="Arial"/>
          <w:sz w:val="22"/>
          <w:szCs w:val="22"/>
        </w:rPr>
        <w:t>11</w:t>
      </w:r>
      <w:r w:rsidRPr="00FB48E9">
        <w:rPr>
          <w:rFonts w:ascii="Arial" w:hAnsi="Arial" w:cs="Arial"/>
          <w:sz w:val="22"/>
          <w:szCs w:val="22"/>
        </w:rPr>
        <w:t xml:space="preserve">, Class </w:t>
      </w:r>
      <w:r w:rsidR="00BB6027">
        <w:rPr>
          <w:rFonts w:ascii="Arial" w:hAnsi="Arial" w:cs="Arial"/>
          <w:sz w:val="22"/>
          <w:szCs w:val="22"/>
        </w:rPr>
        <w:t>B</w:t>
      </w:r>
      <w:r w:rsidRPr="00FB48E9">
        <w:rPr>
          <w:rFonts w:ascii="Arial" w:hAnsi="Arial" w:cs="Arial"/>
          <w:sz w:val="22"/>
          <w:szCs w:val="22"/>
        </w:rPr>
        <w:t xml:space="preserve"> of the Town and Country Planning (General Permitted Development) (England) Order 2015 (as amended), </w:t>
      </w:r>
      <w:r w:rsidR="001756F0">
        <w:rPr>
          <w:rFonts w:ascii="Arial" w:hAnsi="Arial" w:cs="Arial"/>
          <w:sz w:val="22"/>
          <w:szCs w:val="22"/>
        </w:rPr>
        <w:t xml:space="preserve">demolition of buildings </w:t>
      </w:r>
      <w:r w:rsidRPr="00FB48E9">
        <w:rPr>
          <w:rFonts w:ascii="Arial" w:hAnsi="Arial" w:cs="Arial"/>
          <w:sz w:val="22"/>
          <w:szCs w:val="22"/>
        </w:rPr>
        <w:t xml:space="preserve">may be permitted, </w:t>
      </w:r>
      <w:r w:rsidR="001756F0" w:rsidRPr="001756F0">
        <w:rPr>
          <w:rFonts w:ascii="Arial" w:hAnsi="Arial" w:cs="Arial"/>
          <w:sz w:val="22"/>
          <w:szCs w:val="22"/>
        </w:rPr>
        <w:t>subject to the limitations, restrictions, conditions, and prior approval provisions set out in Part 11.</w:t>
      </w:r>
    </w:p>
    <w:p w14:paraId="4ADA09D5" w14:textId="77777777" w:rsidR="009F6758" w:rsidRPr="00FB48E9" w:rsidRDefault="009F6758" w:rsidP="00DA1B44">
      <w:pPr>
        <w:spacing w:line="276" w:lineRule="auto"/>
        <w:jc w:val="both"/>
        <w:rPr>
          <w:rFonts w:ascii="Arial" w:hAnsi="Arial" w:cs="Arial"/>
          <w:sz w:val="22"/>
          <w:szCs w:val="22"/>
        </w:rPr>
      </w:pPr>
    </w:p>
    <w:p w14:paraId="0A95A30F" w14:textId="5B83042B" w:rsidR="001033D5" w:rsidRPr="001033D5" w:rsidRDefault="001033D5" w:rsidP="001033D5">
      <w:pPr>
        <w:spacing w:line="276" w:lineRule="auto"/>
        <w:jc w:val="both"/>
        <w:rPr>
          <w:rFonts w:ascii="Arial" w:eastAsia="Arial" w:hAnsi="Arial" w:cs="Arial"/>
          <w:sz w:val="22"/>
          <w:szCs w:val="22"/>
        </w:rPr>
      </w:pPr>
      <w:r w:rsidRPr="001033D5">
        <w:rPr>
          <w:rFonts w:ascii="Arial" w:eastAsia="Arial" w:hAnsi="Arial" w:cs="Arial"/>
          <w:sz w:val="22"/>
          <w:szCs w:val="22"/>
        </w:rPr>
        <w:t>Development is</w:t>
      </w:r>
      <w:r w:rsidRPr="001033D5">
        <w:rPr>
          <w:rFonts w:ascii="Arial" w:eastAsia="Arial" w:hAnsi="Arial" w:cs="Arial"/>
          <w:i/>
          <w:iCs/>
          <w:sz w:val="22"/>
          <w:szCs w:val="22"/>
        </w:rPr>
        <w:t xml:space="preserve"> not</w:t>
      </w:r>
      <w:r w:rsidRPr="001033D5">
        <w:rPr>
          <w:rFonts w:ascii="Arial" w:eastAsia="Arial" w:hAnsi="Arial" w:cs="Arial"/>
          <w:sz w:val="22"/>
          <w:szCs w:val="22"/>
        </w:rPr>
        <w:t xml:space="preserve"> permitted where any of the exclusions under Class B.1 apply.</w:t>
      </w:r>
    </w:p>
    <w:p w14:paraId="0343631A" w14:textId="77777777" w:rsidR="005F442C" w:rsidRDefault="005F442C" w:rsidP="00DA1B44">
      <w:pPr>
        <w:spacing w:line="276" w:lineRule="auto"/>
        <w:jc w:val="both"/>
        <w:rPr>
          <w:rFonts w:ascii="Arial" w:hAnsi="Arial" w:cs="Arial"/>
          <w:b/>
          <w:bCs/>
          <w:sz w:val="22"/>
          <w:szCs w:val="22"/>
        </w:rPr>
      </w:pPr>
    </w:p>
    <w:p w14:paraId="48AE192C" w14:textId="77777777" w:rsidR="00792C92" w:rsidRDefault="00792C92" w:rsidP="00792C92">
      <w:pPr>
        <w:spacing w:line="276" w:lineRule="auto"/>
        <w:jc w:val="both"/>
        <w:rPr>
          <w:rFonts w:ascii="Arial" w:hAnsi="Arial" w:cs="Arial"/>
          <w:sz w:val="22"/>
          <w:szCs w:val="22"/>
        </w:rPr>
      </w:pPr>
      <w:r w:rsidRPr="00792C92">
        <w:rPr>
          <w:rFonts w:ascii="Arial" w:hAnsi="Arial" w:cs="Arial"/>
          <w:sz w:val="22"/>
          <w:szCs w:val="22"/>
        </w:rPr>
        <w:t>Under Article 5 and Schedule 2, Part 11, Class B of the Town and Country Planning (General Permitted Development) (England) Order 2015 (as amended), prior approval must follow the statutory procedure. The Local Planning Authority must:</w:t>
      </w:r>
    </w:p>
    <w:p w14:paraId="52DB466E" w14:textId="77777777" w:rsidR="00792C92" w:rsidRPr="00792C92" w:rsidRDefault="00792C92" w:rsidP="00792C92">
      <w:pPr>
        <w:spacing w:line="276" w:lineRule="auto"/>
        <w:jc w:val="both"/>
        <w:rPr>
          <w:rFonts w:ascii="Arial" w:hAnsi="Arial" w:cs="Arial"/>
          <w:sz w:val="22"/>
          <w:szCs w:val="22"/>
        </w:rPr>
      </w:pPr>
    </w:p>
    <w:p w14:paraId="2181D413" w14:textId="77777777" w:rsidR="00792C92" w:rsidRDefault="00792C92" w:rsidP="00792C92">
      <w:pPr>
        <w:pStyle w:val="ListParagraph"/>
        <w:numPr>
          <w:ilvl w:val="0"/>
          <w:numId w:val="23"/>
        </w:numPr>
        <w:spacing w:line="276" w:lineRule="auto"/>
        <w:jc w:val="both"/>
        <w:rPr>
          <w:rFonts w:ascii="Arial" w:hAnsi="Arial" w:cs="Arial"/>
          <w:sz w:val="22"/>
          <w:szCs w:val="22"/>
        </w:rPr>
      </w:pPr>
      <w:r w:rsidRPr="00792C92">
        <w:rPr>
          <w:rFonts w:ascii="Arial" w:hAnsi="Arial" w:cs="Arial"/>
          <w:sz w:val="22"/>
          <w:szCs w:val="22"/>
        </w:rPr>
        <w:t xml:space="preserve">Establish whether the proposal constitutes permitted development under Part 11, Class </w:t>
      </w:r>
      <w:proofErr w:type="gramStart"/>
      <w:r w:rsidRPr="00792C92">
        <w:rPr>
          <w:rFonts w:ascii="Arial" w:hAnsi="Arial" w:cs="Arial"/>
          <w:sz w:val="22"/>
          <w:szCs w:val="22"/>
        </w:rPr>
        <w:t>B;</w:t>
      </w:r>
      <w:proofErr w:type="gramEnd"/>
    </w:p>
    <w:p w14:paraId="7D48DE9C" w14:textId="63F0A1F3" w:rsidR="00792C92" w:rsidRDefault="00792C92" w:rsidP="00792C92">
      <w:pPr>
        <w:pStyle w:val="ListParagraph"/>
        <w:numPr>
          <w:ilvl w:val="0"/>
          <w:numId w:val="23"/>
        </w:numPr>
        <w:spacing w:line="276" w:lineRule="auto"/>
        <w:jc w:val="both"/>
        <w:rPr>
          <w:rFonts w:ascii="Arial" w:hAnsi="Arial" w:cs="Arial"/>
          <w:sz w:val="22"/>
          <w:szCs w:val="22"/>
        </w:rPr>
      </w:pPr>
      <w:r w:rsidRPr="00792C92">
        <w:rPr>
          <w:rFonts w:ascii="Arial" w:hAnsi="Arial" w:cs="Arial"/>
          <w:sz w:val="22"/>
          <w:szCs w:val="22"/>
        </w:rPr>
        <w:t>Where relevant, determine whether prior approval is required for:</w:t>
      </w:r>
    </w:p>
    <w:p w14:paraId="1BD12020" w14:textId="77777777" w:rsidR="00792C92" w:rsidRPr="00792C92" w:rsidRDefault="00792C92" w:rsidP="00792C92">
      <w:pPr>
        <w:pStyle w:val="ListParagraph"/>
        <w:spacing w:line="276" w:lineRule="auto"/>
        <w:jc w:val="both"/>
        <w:rPr>
          <w:rFonts w:ascii="Arial" w:hAnsi="Arial" w:cs="Arial"/>
          <w:sz w:val="22"/>
          <w:szCs w:val="22"/>
        </w:rPr>
      </w:pPr>
    </w:p>
    <w:p w14:paraId="479E644A" w14:textId="1B52972E" w:rsidR="00792C92" w:rsidRDefault="00792C92" w:rsidP="00792C92">
      <w:pPr>
        <w:pStyle w:val="ListParagraph"/>
        <w:numPr>
          <w:ilvl w:val="0"/>
          <w:numId w:val="25"/>
        </w:numPr>
        <w:spacing w:line="276" w:lineRule="auto"/>
        <w:jc w:val="both"/>
        <w:rPr>
          <w:rFonts w:ascii="Arial" w:hAnsi="Arial" w:cs="Arial"/>
          <w:sz w:val="22"/>
          <w:szCs w:val="22"/>
        </w:rPr>
      </w:pPr>
      <w:r w:rsidRPr="00792C92">
        <w:rPr>
          <w:rFonts w:ascii="Arial" w:hAnsi="Arial" w:cs="Arial"/>
          <w:sz w:val="22"/>
          <w:szCs w:val="22"/>
        </w:rPr>
        <w:t>the method of demolition, and</w:t>
      </w:r>
    </w:p>
    <w:p w14:paraId="46A787DB" w14:textId="77777777" w:rsidR="00792C92" w:rsidRDefault="00792C92" w:rsidP="00792C92">
      <w:pPr>
        <w:pStyle w:val="ListParagraph"/>
        <w:numPr>
          <w:ilvl w:val="0"/>
          <w:numId w:val="25"/>
        </w:numPr>
        <w:spacing w:line="276" w:lineRule="auto"/>
        <w:jc w:val="both"/>
        <w:rPr>
          <w:rFonts w:ascii="Arial" w:hAnsi="Arial" w:cs="Arial"/>
          <w:sz w:val="22"/>
          <w:szCs w:val="22"/>
        </w:rPr>
      </w:pPr>
      <w:r w:rsidRPr="00792C92">
        <w:rPr>
          <w:rFonts w:ascii="Arial" w:hAnsi="Arial" w:cs="Arial"/>
          <w:sz w:val="22"/>
          <w:szCs w:val="22"/>
        </w:rPr>
        <w:t xml:space="preserve">the proposed restoration of the </w:t>
      </w:r>
      <w:proofErr w:type="gramStart"/>
      <w:r w:rsidRPr="00792C92">
        <w:rPr>
          <w:rFonts w:ascii="Arial" w:hAnsi="Arial" w:cs="Arial"/>
          <w:sz w:val="22"/>
          <w:szCs w:val="22"/>
        </w:rPr>
        <w:t>site;</w:t>
      </w:r>
      <w:proofErr w:type="gramEnd"/>
    </w:p>
    <w:p w14:paraId="2825D6F1" w14:textId="77777777" w:rsidR="00792C92" w:rsidRDefault="00792C92" w:rsidP="00792C92">
      <w:pPr>
        <w:pStyle w:val="ListParagraph"/>
        <w:spacing w:line="276" w:lineRule="auto"/>
        <w:jc w:val="both"/>
        <w:rPr>
          <w:rFonts w:ascii="Arial" w:hAnsi="Arial" w:cs="Arial"/>
          <w:sz w:val="22"/>
          <w:szCs w:val="22"/>
        </w:rPr>
      </w:pPr>
    </w:p>
    <w:p w14:paraId="026A1ADE" w14:textId="40CA337B" w:rsid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 xml:space="preserve">Undertake consultation required under Article </w:t>
      </w:r>
      <w:proofErr w:type="gramStart"/>
      <w:r w:rsidRPr="00792C92">
        <w:rPr>
          <w:rFonts w:ascii="Arial" w:hAnsi="Arial" w:cs="Arial"/>
          <w:sz w:val="22"/>
          <w:szCs w:val="22"/>
        </w:rPr>
        <w:t>7(2);</w:t>
      </w:r>
      <w:proofErr w:type="gramEnd"/>
    </w:p>
    <w:p w14:paraId="3CBDD7BB" w14:textId="77777777" w:rsid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Undertake any publicity required under Article 7(6); and</w:t>
      </w:r>
    </w:p>
    <w:p w14:paraId="5A087D3B" w14:textId="590F585D" w:rsidR="00792C92" w:rsidRPr="00792C92" w:rsidRDefault="00792C92" w:rsidP="00792C92">
      <w:pPr>
        <w:pStyle w:val="ListParagraph"/>
        <w:numPr>
          <w:ilvl w:val="0"/>
          <w:numId w:val="26"/>
        </w:numPr>
        <w:spacing w:line="276" w:lineRule="auto"/>
        <w:jc w:val="both"/>
        <w:rPr>
          <w:rFonts w:ascii="Arial" w:hAnsi="Arial" w:cs="Arial"/>
          <w:sz w:val="22"/>
          <w:szCs w:val="22"/>
        </w:rPr>
      </w:pPr>
      <w:r w:rsidRPr="00792C92">
        <w:rPr>
          <w:rFonts w:ascii="Arial" w:hAnsi="Arial" w:cs="Arial"/>
          <w:sz w:val="22"/>
          <w:szCs w:val="22"/>
        </w:rPr>
        <w:t>Issue a determination within 28 days of the date the LPA receives a valid application.</w:t>
      </w:r>
    </w:p>
    <w:p w14:paraId="3F7DE931" w14:textId="77777777" w:rsidR="00792C92" w:rsidRDefault="00792C92" w:rsidP="00DA1B44">
      <w:pPr>
        <w:spacing w:line="276" w:lineRule="auto"/>
        <w:jc w:val="both"/>
        <w:rPr>
          <w:rFonts w:ascii="Arial" w:hAnsi="Arial" w:cs="Arial"/>
          <w:b/>
          <w:bCs/>
          <w:sz w:val="22"/>
          <w:szCs w:val="22"/>
        </w:rPr>
      </w:pPr>
    </w:p>
    <w:p w14:paraId="44D8B9DD" w14:textId="77777777" w:rsidR="00792C92" w:rsidRPr="00792C92" w:rsidRDefault="00792C92" w:rsidP="00792C92">
      <w:pPr>
        <w:spacing w:line="276" w:lineRule="auto"/>
        <w:jc w:val="both"/>
        <w:rPr>
          <w:rFonts w:ascii="Arial" w:hAnsi="Arial" w:cs="Arial"/>
          <w:sz w:val="22"/>
          <w:szCs w:val="22"/>
        </w:rPr>
      </w:pPr>
      <w:r w:rsidRPr="00792C92">
        <w:rPr>
          <w:rFonts w:ascii="Arial" w:hAnsi="Arial" w:cs="Arial"/>
          <w:sz w:val="22"/>
          <w:szCs w:val="22"/>
        </w:rPr>
        <w:t>Under Paragraph B.2(2)(b), if the LPA does not issue a decision within 28 days, prior approval is deemed not required, and the developer may proceed in accordance with the submitted details.</w:t>
      </w:r>
    </w:p>
    <w:p w14:paraId="16ECDFE4" w14:textId="77777777" w:rsidR="00792C92" w:rsidRPr="009F69B1" w:rsidRDefault="00792C92" w:rsidP="00DA1B44">
      <w:pPr>
        <w:spacing w:line="276" w:lineRule="auto"/>
        <w:jc w:val="both"/>
        <w:rPr>
          <w:rFonts w:ascii="Arial" w:hAnsi="Arial" w:cs="Arial"/>
          <w:b/>
          <w:bCs/>
          <w:sz w:val="22"/>
          <w:szCs w:val="22"/>
        </w:rPr>
      </w:pPr>
    </w:p>
    <w:p w14:paraId="4B3D84FB" w14:textId="78D042A3" w:rsidR="00353313" w:rsidRPr="00430CFA" w:rsidRDefault="00E44658" w:rsidP="00DA1B44">
      <w:pPr>
        <w:pStyle w:val="Heading2"/>
        <w:rPr>
          <w:color w:val="ED0000"/>
        </w:rPr>
      </w:pPr>
      <w:r>
        <w:t>ASSESSMENT </w:t>
      </w:r>
    </w:p>
    <w:p w14:paraId="1223754B"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75577C22" w14:textId="711CCC23"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384225E7" w14:textId="77777777" w:rsidR="00B42AF1" w:rsidRDefault="00B42AF1" w:rsidP="00DA1B44">
      <w:pPr>
        <w:spacing w:line="276" w:lineRule="auto"/>
        <w:jc w:val="both"/>
        <w:rPr>
          <w:rFonts w:ascii="Arial" w:eastAsia="Arial" w:hAnsi="Arial" w:cs="Arial"/>
          <w:color w:val="ED0000"/>
          <w:sz w:val="22"/>
          <w:szCs w:val="22"/>
          <w:u w:val="single"/>
        </w:rPr>
      </w:pPr>
    </w:p>
    <w:p w14:paraId="6A61C7EB" w14:textId="21CE09BF" w:rsidR="00551971" w:rsidRPr="00551971" w:rsidRDefault="00551971" w:rsidP="00551971">
      <w:pPr>
        <w:spacing w:line="276" w:lineRule="auto"/>
        <w:jc w:val="both"/>
        <w:rPr>
          <w:rFonts w:ascii="Arial" w:eastAsia="Arial" w:hAnsi="Arial" w:cs="Arial"/>
          <w:color w:val="000000" w:themeColor="text1"/>
          <w:sz w:val="22"/>
          <w:szCs w:val="22"/>
        </w:rPr>
      </w:pPr>
      <w:r w:rsidRPr="00551971">
        <w:rPr>
          <w:rFonts w:ascii="Arial" w:eastAsia="Arial" w:hAnsi="Arial" w:cs="Arial"/>
          <w:color w:val="000000" w:themeColor="text1"/>
          <w:sz w:val="22"/>
          <w:szCs w:val="22"/>
        </w:rPr>
        <w:t>As part of determining whether the proposal is permitted development under Schedule 2, Part 11, Class B, the LPA must also consider whether the demolition constitutes “relevant demolition” under Section 196D of the Town and Country Planning Act 1990. If the demolition falls within the definition of “relevant demolition in a conservation area”, planning permission would be required and the proposal could not proceed under Class</w:t>
      </w:r>
      <w:r>
        <w:rPr>
          <w:rFonts w:ascii="Arial" w:eastAsia="Arial" w:hAnsi="Arial" w:cs="Arial"/>
          <w:color w:val="000000" w:themeColor="text1"/>
          <w:sz w:val="22"/>
          <w:szCs w:val="22"/>
        </w:rPr>
        <w:t xml:space="preserve"> B. </w:t>
      </w:r>
    </w:p>
    <w:p w14:paraId="55FD3BF1" w14:textId="77777777" w:rsidR="00551971" w:rsidRPr="00B42AF1" w:rsidRDefault="00551971" w:rsidP="00DA1B44">
      <w:pPr>
        <w:spacing w:line="276" w:lineRule="auto"/>
        <w:jc w:val="both"/>
        <w:rPr>
          <w:rFonts w:ascii="Arial" w:eastAsia="Arial" w:hAnsi="Arial" w:cs="Arial"/>
          <w:color w:val="ED0000"/>
          <w:sz w:val="22"/>
          <w:szCs w:val="22"/>
          <w:u w:val="single"/>
        </w:rPr>
      </w:pPr>
    </w:p>
    <w:p w14:paraId="70F6574E" w14:textId="77777777" w:rsidR="00551971" w:rsidRPr="00551971" w:rsidRDefault="00551971" w:rsidP="00551971">
      <w:pPr>
        <w:spacing w:line="276" w:lineRule="auto"/>
        <w:jc w:val="both"/>
        <w:rPr>
          <w:rFonts w:ascii="Arial" w:eastAsia="Arial" w:hAnsi="Arial" w:cs="Arial"/>
          <w:color w:val="000000" w:themeColor="text1"/>
          <w:sz w:val="22"/>
          <w:szCs w:val="22"/>
        </w:rPr>
      </w:pPr>
      <w:bookmarkStart w:id="1" w:name="_41aedd51_4132_404d_8cd3_175b0a588d85"/>
      <w:bookmarkEnd w:id="1"/>
      <w:r w:rsidRPr="00551971">
        <w:rPr>
          <w:rFonts w:ascii="Arial" w:eastAsia="Arial" w:hAnsi="Arial" w:cs="Arial"/>
          <w:color w:val="000000" w:themeColor="text1"/>
          <w:sz w:val="22"/>
          <w:szCs w:val="22"/>
        </w:rPr>
        <w:t>Having completed the detailed assessment checklist at Appendix 1 of this report, and having confirmed that the demolition does not constitute “relevant demolition” for the purposes of Section 196D, it is concluded that the proposed development qualifies as permitted development under Schedule 2, Part 11, Class B of the Town and Country Planning (General Permitted Development) (England) Order 2015 (as amended). The assessment may therefore proceed to consider whether prior approval is required for the method of demolition and any proposed restoration.</w:t>
      </w:r>
    </w:p>
    <w:p w14:paraId="0EB4EFEB" w14:textId="77777777" w:rsidR="00257774" w:rsidRDefault="00257774" w:rsidP="00DA1B44">
      <w:pPr>
        <w:spacing w:line="276" w:lineRule="auto"/>
        <w:jc w:val="both"/>
        <w:rPr>
          <w:rFonts w:ascii="Arial" w:eastAsia="Arial" w:hAnsi="Arial" w:cs="Arial"/>
          <w:color w:val="000000" w:themeColor="text1"/>
          <w:sz w:val="22"/>
          <w:szCs w:val="22"/>
        </w:rPr>
      </w:pPr>
    </w:p>
    <w:p w14:paraId="7D9DBFCC"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27D3E7D4"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10D7B512" w14:textId="77777777" w:rsidR="00F50536" w:rsidRPr="00792C92" w:rsidRDefault="00F50536" w:rsidP="00DA1B44">
      <w:pPr>
        <w:spacing w:line="276" w:lineRule="auto"/>
        <w:jc w:val="both"/>
        <w:rPr>
          <w:rFonts w:ascii="Arial" w:hAnsi="Arial" w:cs="Arial"/>
          <w:b/>
          <w:bCs/>
          <w:i/>
          <w:iCs/>
          <w:color w:val="ED0000"/>
          <w:sz w:val="22"/>
          <w:szCs w:val="22"/>
        </w:rPr>
      </w:pPr>
    </w:p>
    <w:p w14:paraId="08E730AF" w14:textId="2EAB6242" w:rsidR="00F50536" w:rsidRPr="00AA6AAB" w:rsidRDefault="00F50536" w:rsidP="00C87CDA">
      <w:pPr>
        <w:pStyle w:val="ListParagraph"/>
        <w:numPr>
          <w:ilvl w:val="0"/>
          <w:numId w:val="27"/>
        </w:numPr>
        <w:spacing w:line="276" w:lineRule="auto"/>
        <w:jc w:val="both"/>
        <w:rPr>
          <w:rFonts w:ascii="Arial" w:hAnsi="Arial" w:cs="Arial"/>
          <w:sz w:val="22"/>
          <w:szCs w:val="22"/>
        </w:rPr>
      </w:pPr>
      <w:r w:rsidRPr="00AA6AAB">
        <w:rPr>
          <w:rFonts w:ascii="Arial" w:hAnsi="Arial" w:cs="Arial"/>
          <w:sz w:val="22"/>
          <w:szCs w:val="22"/>
        </w:rPr>
        <w:t>Method of Demolition</w:t>
      </w:r>
    </w:p>
    <w:p w14:paraId="5FC549C1" w14:textId="77777777" w:rsidR="00C87CDA" w:rsidRDefault="00C87CDA" w:rsidP="00C87CDA">
      <w:pPr>
        <w:spacing w:line="276" w:lineRule="auto"/>
        <w:jc w:val="both"/>
        <w:rPr>
          <w:rFonts w:ascii="Arial" w:hAnsi="Arial" w:cs="Arial"/>
          <w:b/>
          <w:bCs/>
          <w:i/>
          <w:iCs/>
          <w:color w:val="ED0000"/>
          <w:sz w:val="22"/>
          <w:szCs w:val="22"/>
        </w:rPr>
      </w:pPr>
    </w:p>
    <w:p w14:paraId="4EBAA6E4" w14:textId="6AD2463A" w:rsidR="00AA6AAB" w:rsidRPr="00AA6AAB" w:rsidRDefault="00AA6AAB" w:rsidP="00AA6AAB">
      <w:pPr>
        <w:pStyle w:val="ListParagraph"/>
        <w:spacing w:line="276" w:lineRule="auto"/>
        <w:jc w:val="both"/>
        <w:rPr>
          <w:rFonts w:ascii="Arial" w:hAnsi="Arial" w:cs="Arial"/>
          <w:sz w:val="22"/>
          <w:szCs w:val="22"/>
        </w:rPr>
      </w:pPr>
      <w:r w:rsidRPr="00AA6AAB">
        <w:rPr>
          <w:rFonts w:ascii="Arial" w:hAnsi="Arial" w:cs="Arial"/>
          <w:sz w:val="22"/>
          <w:szCs w:val="22"/>
        </w:rPr>
        <w:t>The proposed demolition method is appropriate for a single</w:t>
      </w:r>
      <w:r w:rsidRPr="00AA6AAB">
        <w:rPr>
          <w:rFonts w:ascii="Cambria Math" w:hAnsi="Cambria Math" w:cs="Cambria Math"/>
          <w:sz w:val="22"/>
          <w:szCs w:val="22"/>
        </w:rPr>
        <w:t>‑</w:t>
      </w:r>
      <w:r w:rsidRPr="00AA6AAB">
        <w:rPr>
          <w:rFonts w:ascii="Arial" w:hAnsi="Arial" w:cs="Arial"/>
          <w:sz w:val="22"/>
          <w:szCs w:val="22"/>
        </w:rPr>
        <w:t>storey brick office building with a flat concrete roof. The works will take place entirely within the Tidworth Garrison security perimeter, with no public access to the site. A secure exclusion zone will be established using Heras fencing, controlled access points and marshalled vehicle movements, ensuring a safe working environment. Utilities have been isolated, asbestos will be removed by a licensed contractor, and the building will be subject to a soft strip prior to mechanical demolition. The use of an excavator with suitable attachments and a phased sequence in accordance with BS 6187:2011 represents a safe and reasonable method proportionate to the building's size, construction and surroundings. Measures to manage dust, noise, vibration and waste</w:t>
      </w:r>
      <w:r w:rsidRPr="00AA6AAB">
        <w:rPr>
          <w:rFonts w:ascii="Arial" w:hAnsi="Arial" w:cs="Arial"/>
          <w:sz w:val="22"/>
          <w:szCs w:val="22"/>
        </w:rPr>
        <w:t xml:space="preserve">, </w:t>
      </w:r>
      <w:r w:rsidRPr="00AA6AAB">
        <w:rPr>
          <w:rFonts w:ascii="Arial" w:hAnsi="Arial" w:cs="Arial"/>
          <w:sz w:val="22"/>
          <w:szCs w:val="22"/>
        </w:rPr>
        <w:t>including water suppression, avoidance of unnecessary breaker use, and off</w:t>
      </w:r>
      <w:r w:rsidRPr="00AA6AAB">
        <w:rPr>
          <w:rFonts w:ascii="Cambria Math" w:hAnsi="Cambria Math" w:cs="Cambria Math"/>
          <w:sz w:val="22"/>
          <w:szCs w:val="22"/>
        </w:rPr>
        <w:t>‑</w:t>
      </w:r>
      <w:r w:rsidRPr="00AA6AAB">
        <w:rPr>
          <w:rFonts w:ascii="Arial" w:hAnsi="Arial" w:cs="Arial"/>
          <w:sz w:val="22"/>
          <w:szCs w:val="22"/>
        </w:rPr>
        <w:t>site recycling of rubble</w:t>
      </w:r>
      <w:r w:rsidRPr="00AA6AAB">
        <w:rPr>
          <w:rFonts w:ascii="Arial" w:hAnsi="Arial" w:cs="Arial"/>
          <w:sz w:val="22"/>
          <w:szCs w:val="22"/>
        </w:rPr>
        <w:t xml:space="preserve">, </w:t>
      </w:r>
      <w:r w:rsidRPr="00AA6AAB">
        <w:rPr>
          <w:rFonts w:ascii="Arial" w:hAnsi="Arial" w:cs="Arial"/>
          <w:sz w:val="22"/>
          <w:szCs w:val="22"/>
        </w:rPr>
        <w:t>are clearly set out.</w:t>
      </w:r>
    </w:p>
    <w:p w14:paraId="6CFC1EF6" w14:textId="77777777" w:rsidR="00AA6AAB" w:rsidRPr="00AA6AAB" w:rsidRDefault="00AA6AAB" w:rsidP="00AA6AAB">
      <w:pPr>
        <w:pStyle w:val="ListParagraph"/>
        <w:spacing w:line="276" w:lineRule="auto"/>
        <w:jc w:val="both"/>
        <w:rPr>
          <w:rFonts w:ascii="Arial" w:hAnsi="Arial" w:cs="Arial"/>
          <w:sz w:val="22"/>
          <w:szCs w:val="22"/>
        </w:rPr>
      </w:pPr>
    </w:p>
    <w:p w14:paraId="6656B1F9" w14:textId="3F080E88" w:rsidR="00F50536" w:rsidRDefault="00AA6AAB" w:rsidP="005E3801">
      <w:pPr>
        <w:pStyle w:val="ListParagraph"/>
        <w:spacing w:line="276" w:lineRule="auto"/>
        <w:jc w:val="both"/>
        <w:rPr>
          <w:rFonts w:ascii="Arial" w:hAnsi="Arial" w:cs="Arial"/>
          <w:sz w:val="22"/>
          <w:szCs w:val="22"/>
        </w:rPr>
      </w:pPr>
      <w:r w:rsidRPr="00AA6AAB">
        <w:rPr>
          <w:rFonts w:ascii="Arial" w:hAnsi="Arial" w:cs="Arial"/>
          <w:sz w:val="22"/>
          <w:szCs w:val="22"/>
        </w:rPr>
        <w:t>Given the location within a controlled military compound, potential impacts on neighbours, adjacent buildings and the public highway are minimal. No external receptors are likely to be affected due to restricted access and internal management of vehicle movements.</w:t>
      </w:r>
    </w:p>
    <w:p w14:paraId="1ABDDA87" w14:textId="77777777" w:rsidR="005E3801" w:rsidRDefault="005E3801" w:rsidP="005E3801">
      <w:pPr>
        <w:pStyle w:val="ListParagraph"/>
        <w:spacing w:line="276" w:lineRule="auto"/>
        <w:jc w:val="both"/>
        <w:rPr>
          <w:rFonts w:ascii="Arial" w:hAnsi="Arial" w:cs="Arial"/>
          <w:sz w:val="22"/>
          <w:szCs w:val="22"/>
        </w:rPr>
      </w:pPr>
    </w:p>
    <w:p w14:paraId="77CAB657" w14:textId="00751FA0" w:rsidR="005E3801" w:rsidRDefault="005E3801" w:rsidP="005E3801">
      <w:pPr>
        <w:pStyle w:val="ListParagraph"/>
        <w:spacing w:line="276" w:lineRule="auto"/>
        <w:jc w:val="both"/>
        <w:rPr>
          <w:rFonts w:ascii="Arial" w:hAnsi="Arial" w:cs="Arial"/>
          <w:sz w:val="22"/>
          <w:szCs w:val="22"/>
        </w:rPr>
      </w:pPr>
      <w:r w:rsidRPr="005E3801">
        <w:rPr>
          <w:rFonts w:ascii="Arial" w:hAnsi="Arial" w:cs="Arial"/>
          <w:sz w:val="22"/>
          <w:szCs w:val="22"/>
        </w:rPr>
        <w:t xml:space="preserve">Under Part 11 Class B, ecology is only relevant where it directly affects the demolition method. The bat and bird surveys found no evidence of bats or roost features and assessed the building as having negligible bat roost potential, meaning no changes to the demolition method are required. The Council’s ecologist provided standard advice that if bats are unexpectedly found, works must stop and a licensed ecologist or Natural England contacted. </w:t>
      </w:r>
    </w:p>
    <w:p w14:paraId="5BBB4F9D" w14:textId="77777777" w:rsidR="005E3801" w:rsidRPr="005E3801" w:rsidRDefault="005E3801" w:rsidP="005E3801">
      <w:pPr>
        <w:pStyle w:val="ListParagraph"/>
        <w:spacing w:line="276" w:lineRule="auto"/>
        <w:jc w:val="both"/>
        <w:rPr>
          <w:rFonts w:ascii="Arial" w:hAnsi="Arial" w:cs="Arial"/>
          <w:sz w:val="22"/>
          <w:szCs w:val="22"/>
        </w:rPr>
      </w:pPr>
    </w:p>
    <w:p w14:paraId="677EA789" w14:textId="76CB93B3" w:rsidR="005E3801" w:rsidRDefault="005E3801" w:rsidP="005E3801">
      <w:pPr>
        <w:pStyle w:val="ListParagraph"/>
        <w:spacing w:line="276" w:lineRule="auto"/>
        <w:jc w:val="both"/>
        <w:rPr>
          <w:rFonts w:ascii="Arial" w:hAnsi="Arial" w:cs="Arial"/>
          <w:sz w:val="22"/>
          <w:szCs w:val="22"/>
        </w:rPr>
      </w:pPr>
      <w:r w:rsidRPr="005E3801">
        <w:rPr>
          <w:rFonts w:ascii="Arial" w:hAnsi="Arial" w:cs="Arial"/>
          <w:sz w:val="22"/>
          <w:szCs w:val="22"/>
        </w:rPr>
        <w:t xml:space="preserve">For nesting birds, only old nesting material was </w:t>
      </w:r>
      <w:proofErr w:type="gramStart"/>
      <w:r w:rsidRPr="005E3801">
        <w:rPr>
          <w:rFonts w:ascii="Arial" w:hAnsi="Arial" w:cs="Arial"/>
          <w:sz w:val="22"/>
          <w:szCs w:val="22"/>
        </w:rPr>
        <w:t>identified</w:t>
      </w:r>
      <w:proofErr w:type="gramEnd"/>
      <w:r w:rsidRPr="005E3801">
        <w:rPr>
          <w:rFonts w:ascii="Arial" w:hAnsi="Arial" w:cs="Arial"/>
          <w:sz w:val="22"/>
          <w:szCs w:val="22"/>
        </w:rPr>
        <w:t xml:space="preserve"> and no active nests were present. If demolition occurs during the nesting season, pre</w:t>
      </w:r>
      <w:r w:rsidRPr="005E3801">
        <w:rPr>
          <w:rFonts w:ascii="Cambria Math" w:hAnsi="Cambria Math" w:cs="Cambria Math"/>
          <w:sz w:val="22"/>
          <w:szCs w:val="22"/>
        </w:rPr>
        <w:t>‑</w:t>
      </w:r>
      <w:r w:rsidRPr="005E3801">
        <w:rPr>
          <w:rFonts w:ascii="Arial" w:hAnsi="Arial" w:cs="Arial"/>
          <w:sz w:val="22"/>
          <w:szCs w:val="22"/>
        </w:rPr>
        <w:t xml:space="preserve">start checks are </w:t>
      </w:r>
      <w:proofErr w:type="gramStart"/>
      <w:r w:rsidRPr="005E3801">
        <w:rPr>
          <w:rFonts w:ascii="Arial" w:hAnsi="Arial" w:cs="Arial"/>
          <w:sz w:val="22"/>
          <w:szCs w:val="22"/>
        </w:rPr>
        <w:t>required</w:t>
      </w:r>
      <w:proofErr w:type="gramEnd"/>
      <w:r w:rsidRPr="005E3801">
        <w:rPr>
          <w:rFonts w:ascii="Arial" w:hAnsi="Arial" w:cs="Arial"/>
          <w:sz w:val="22"/>
          <w:szCs w:val="22"/>
        </w:rPr>
        <w:t xml:space="preserve"> and any active nests must be protected until fledging—these are procedural safeguards only and do not alter the demolition method. </w:t>
      </w:r>
    </w:p>
    <w:p w14:paraId="1DA4B8FB" w14:textId="77777777" w:rsidR="005E3801" w:rsidRPr="005E3801" w:rsidRDefault="005E3801" w:rsidP="005E3801">
      <w:pPr>
        <w:pStyle w:val="ListParagraph"/>
        <w:spacing w:line="276" w:lineRule="auto"/>
        <w:jc w:val="both"/>
        <w:rPr>
          <w:rFonts w:ascii="Arial" w:hAnsi="Arial" w:cs="Arial"/>
          <w:sz w:val="22"/>
          <w:szCs w:val="22"/>
        </w:rPr>
      </w:pPr>
    </w:p>
    <w:p w14:paraId="45A23A6C" w14:textId="5113A6CE" w:rsidR="005E3801" w:rsidRDefault="005E3801" w:rsidP="005E3801">
      <w:pPr>
        <w:pStyle w:val="ListParagraph"/>
        <w:spacing w:line="276" w:lineRule="auto"/>
        <w:jc w:val="both"/>
        <w:rPr>
          <w:rFonts w:ascii="Arial" w:hAnsi="Arial" w:cs="Arial"/>
          <w:sz w:val="22"/>
          <w:szCs w:val="22"/>
        </w:rPr>
      </w:pPr>
      <w:r w:rsidRPr="005E3801">
        <w:rPr>
          <w:rFonts w:ascii="Arial" w:hAnsi="Arial" w:cs="Arial"/>
          <w:sz w:val="22"/>
          <w:szCs w:val="22"/>
        </w:rPr>
        <w:t>Overall, the ecological findings do not necessitate any amendments to the demolition method, only standard stop</w:t>
      </w:r>
      <w:r w:rsidRPr="005E3801">
        <w:rPr>
          <w:rFonts w:ascii="Cambria Math" w:hAnsi="Cambria Math" w:cs="Cambria Math"/>
          <w:sz w:val="22"/>
          <w:szCs w:val="22"/>
        </w:rPr>
        <w:t>‑</w:t>
      </w:r>
      <w:r w:rsidRPr="005E3801">
        <w:rPr>
          <w:rFonts w:ascii="Arial" w:hAnsi="Arial" w:cs="Arial"/>
          <w:sz w:val="22"/>
          <w:szCs w:val="22"/>
        </w:rPr>
        <w:t>work and checking protocols.</w:t>
      </w:r>
    </w:p>
    <w:p w14:paraId="2319F7C9" w14:textId="77777777" w:rsidR="005E3801" w:rsidRPr="00AA6AAB" w:rsidRDefault="005E3801" w:rsidP="005E3801">
      <w:pPr>
        <w:pStyle w:val="ListParagraph"/>
        <w:spacing w:line="276" w:lineRule="auto"/>
        <w:jc w:val="both"/>
        <w:rPr>
          <w:rFonts w:ascii="Arial" w:hAnsi="Arial" w:cs="Arial"/>
          <w:sz w:val="22"/>
          <w:szCs w:val="22"/>
        </w:rPr>
      </w:pPr>
    </w:p>
    <w:p w14:paraId="26F6816A" w14:textId="3E4BA439" w:rsidR="00F50536" w:rsidRPr="00AA6AAB" w:rsidRDefault="00F50536" w:rsidP="00AA6AAB">
      <w:pPr>
        <w:pStyle w:val="ListParagraph"/>
        <w:numPr>
          <w:ilvl w:val="0"/>
          <w:numId w:val="27"/>
        </w:numPr>
        <w:spacing w:line="276" w:lineRule="auto"/>
        <w:jc w:val="both"/>
        <w:rPr>
          <w:rFonts w:ascii="Arial" w:hAnsi="Arial" w:cs="Arial"/>
          <w:sz w:val="22"/>
          <w:szCs w:val="22"/>
        </w:rPr>
      </w:pPr>
      <w:r w:rsidRPr="00AA6AAB">
        <w:rPr>
          <w:rFonts w:ascii="Arial" w:hAnsi="Arial" w:cs="Arial"/>
          <w:sz w:val="22"/>
          <w:szCs w:val="22"/>
        </w:rPr>
        <w:t>Proposed Restoration of the Site</w:t>
      </w:r>
    </w:p>
    <w:p w14:paraId="1E6FB3A6" w14:textId="77777777" w:rsidR="00AA6AAB" w:rsidRPr="00AA6AAB" w:rsidRDefault="00AA6AAB" w:rsidP="00AA6AAB">
      <w:pPr>
        <w:pStyle w:val="ListParagraph"/>
        <w:spacing w:line="276" w:lineRule="auto"/>
        <w:jc w:val="both"/>
        <w:rPr>
          <w:rFonts w:ascii="Arial" w:hAnsi="Arial" w:cs="Arial"/>
          <w:sz w:val="22"/>
          <w:szCs w:val="22"/>
        </w:rPr>
      </w:pPr>
    </w:p>
    <w:p w14:paraId="51E064A9" w14:textId="5A607BE9" w:rsidR="00AA6AAB" w:rsidRPr="00AA6AAB" w:rsidRDefault="00AA6AAB" w:rsidP="00AA6AAB">
      <w:pPr>
        <w:pStyle w:val="ListParagraph"/>
        <w:spacing w:line="276" w:lineRule="auto"/>
        <w:jc w:val="both"/>
        <w:rPr>
          <w:rFonts w:ascii="Arial" w:hAnsi="Arial" w:cs="Arial"/>
          <w:sz w:val="22"/>
          <w:szCs w:val="22"/>
        </w:rPr>
      </w:pPr>
      <w:r w:rsidRPr="00AA6AAB">
        <w:rPr>
          <w:rFonts w:ascii="Arial" w:hAnsi="Arial" w:cs="Arial"/>
          <w:sz w:val="22"/>
          <w:szCs w:val="22"/>
        </w:rPr>
        <w:t>The restoration proposals are clearly described. Following demolition, removal of all arisings and the breaking</w:t>
      </w:r>
      <w:r w:rsidRPr="00AA6AAB">
        <w:rPr>
          <w:rFonts w:ascii="Cambria Math" w:hAnsi="Cambria Math" w:cs="Cambria Math"/>
          <w:sz w:val="22"/>
          <w:szCs w:val="22"/>
        </w:rPr>
        <w:t>‑</w:t>
      </w:r>
      <w:r w:rsidRPr="00AA6AAB">
        <w:rPr>
          <w:rFonts w:ascii="Arial" w:hAnsi="Arial" w:cs="Arial"/>
          <w:sz w:val="22"/>
          <w:szCs w:val="22"/>
        </w:rPr>
        <w:t>up of foundations, the ground will be proof</w:t>
      </w:r>
      <w:r w:rsidRPr="00AA6AAB">
        <w:rPr>
          <w:rFonts w:ascii="Cambria Math" w:hAnsi="Cambria Math" w:cs="Cambria Math"/>
          <w:sz w:val="22"/>
          <w:szCs w:val="22"/>
        </w:rPr>
        <w:t>‑</w:t>
      </w:r>
      <w:r w:rsidRPr="00AA6AAB">
        <w:rPr>
          <w:rFonts w:ascii="Arial" w:hAnsi="Arial" w:cs="Arial"/>
          <w:sz w:val="22"/>
          <w:szCs w:val="22"/>
        </w:rPr>
        <w:t>dug to remove any remaining obstructions, then levelled, topsoiled and prepared for grass seeding. This represents a straightforward and appropriate approach for returning the site to a clean, safe and low</w:t>
      </w:r>
      <w:r w:rsidRPr="00AA6AAB">
        <w:rPr>
          <w:rFonts w:ascii="Cambria Math" w:hAnsi="Cambria Math" w:cs="Cambria Math"/>
          <w:sz w:val="22"/>
          <w:szCs w:val="22"/>
        </w:rPr>
        <w:t>‑</w:t>
      </w:r>
      <w:r w:rsidRPr="00AA6AAB">
        <w:rPr>
          <w:rFonts w:ascii="Arial" w:hAnsi="Arial" w:cs="Arial"/>
          <w:sz w:val="22"/>
          <w:szCs w:val="22"/>
        </w:rPr>
        <w:t>maintenance state consistent with its current context within Tidworth Garrison. No additional development or onward land use is proposed.</w:t>
      </w:r>
    </w:p>
    <w:p w14:paraId="0127D90B" w14:textId="77777777" w:rsidR="00F50536" w:rsidRPr="00792C92" w:rsidRDefault="00F50536" w:rsidP="00DA1B44">
      <w:pPr>
        <w:spacing w:line="276" w:lineRule="auto"/>
        <w:jc w:val="both"/>
        <w:rPr>
          <w:rFonts w:ascii="Arial" w:hAnsi="Arial" w:cs="Arial"/>
          <w:i/>
          <w:iCs/>
          <w:color w:val="ED0000"/>
          <w:sz w:val="22"/>
          <w:szCs w:val="22"/>
        </w:rPr>
      </w:pPr>
    </w:p>
    <w:p w14:paraId="413E0D40" w14:textId="77777777" w:rsidR="00B2505F" w:rsidRDefault="00B2505F" w:rsidP="00DA1B44">
      <w:pPr>
        <w:spacing w:line="276" w:lineRule="auto"/>
        <w:jc w:val="both"/>
        <w:rPr>
          <w:rFonts w:ascii="Arial" w:eastAsia="Arial" w:hAnsi="Arial" w:cs="Arial"/>
          <w:sz w:val="22"/>
          <w:szCs w:val="22"/>
        </w:rPr>
      </w:pPr>
    </w:p>
    <w:p w14:paraId="048F3662" w14:textId="4E9F0F46"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2DD7E5FE" w14:textId="77777777" w:rsidR="006A459D" w:rsidRDefault="006A459D" w:rsidP="00DA1B44">
      <w:pPr>
        <w:spacing w:line="276" w:lineRule="auto"/>
        <w:jc w:val="both"/>
        <w:rPr>
          <w:rFonts w:ascii="Arial" w:eastAsia="Arial" w:hAnsi="Arial" w:cs="Arial"/>
          <w:color w:val="ED0000"/>
          <w:sz w:val="22"/>
          <w:szCs w:val="22"/>
        </w:rPr>
      </w:pPr>
    </w:p>
    <w:p w14:paraId="1B946A01" w14:textId="5E102E95"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 xml:space="preserve">The proposed development has been assessed against the provisions, limitations, and conditions set out in Schedule 2, Part </w:t>
      </w:r>
      <w:r w:rsidR="00691E4F">
        <w:rPr>
          <w:rFonts w:ascii="Arial" w:eastAsia="Arial" w:hAnsi="Arial" w:cs="Arial"/>
          <w:color w:val="212121"/>
          <w:sz w:val="22"/>
          <w:szCs w:val="22"/>
        </w:rPr>
        <w:t>11</w:t>
      </w:r>
      <w:r w:rsidRPr="008733F9">
        <w:rPr>
          <w:rFonts w:ascii="Arial" w:eastAsia="Arial" w:hAnsi="Arial" w:cs="Arial"/>
          <w:color w:val="212121"/>
          <w:sz w:val="22"/>
          <w:szCs w:val="22"/>
        </w:rPr>
        <w:t xml:space="preserve">, Class </w:t>
      </w:r>
      <w:r w:rsidR="00691E4F">
        <w:rPr>
          <w:rFonts w:ascii="Arial" w:eastAsia="Arial" w:hAnsi="Arial" w:cs="Arial"/>
          <w:color w:val="212121"/>
          <w:sz w:val="22"/>
          <w:szCs w:val="22"/>
        </w:rPr>
        <w:t>B</w:t>
      </w:r>
      <w:r w:rsidRPr="008733F9">
        <w:rPr>
          <w:rFonts w:ascii="Arial" w:eastAsia="Arial" w:hAnsi="Arial" w:cs="Arial"/>
          <w:color w:val="212121"/>
          <w:sz w:val="22"/>
          <w:szCs w:val="22"/>
        </w:rPr>
        <w:t xml:space="preserve">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w:t>
      </w:r>
      <w:r w:rsidR="00691E4F">
        <w:rPr>
          <w:rFonts w:ascii="Arial" w:eastAsia="Arial" w:hAnsi="Arial" w:cs="Arial"/>
          <w:color w:val="212121"/>
          <w:sz w:val="22"/>
          <w:szCs w:val="22"/>
        </w:rPr>
        <w:t>B</w:t>
      </w:r>
      <w:r w:rsidR="003317D1" w:rsidRPr="003317D1">
        <w:rPr>
          <w:rFonts w:ascii="Arial" w:eastAsia="Arial" w:hAnsi="Arial" w:cs="Arial"/>
          <w:color w:val="212121"/>
          <w:sz w:val="22"/>
          <w:szCs w:val="22"/>
        </w:rPr>
        <w:t xml:space="preserve">. As such, the local </w:t>
      </w:r>
      <w:r w:rsidR="003317D1" w:rsidRPr="003317D1">
        <w:rPr>
          <w:rFonts w:ascii="Arial" w:eastAsia="Arial" w:hAnsi="Arial" w:cs="Arial"/>
          <w:color w:val="212121"/>
          <w:sz w:val="22"/>
          <w:szCs w:val="22"/>
        </w:rPr>
        <w:lastRenderedPageBreak/>
        <w:t xml:space="preserve">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w:t>
      </w:r>
      <w:r w:rsidR="0080477A">
        <w:rPr>
          <w:rFonts w:ascii="Arial" w:eastAsia="Arial" w:hAnsi="Arial" w:cs="Arial"/>
          <w:color w:val="212121"/>
          <w:sz w:val="22"/>
          <w:szCs w:val="22"/>
        </w:rPr>
        <w:t xml:space="preserve">the </w:t>
      </w:r>
      <w:r w:rsidR="0080477A" w:rsidRPr="0080477A">
        <w:rPr>
          <w:rFonts w:ascii="Arial" w:eastAsia="Arial" w:hAnsi="Arial" w:cs="Arial"/>
          <w:color w:val="212121"/>
          <w:sz w:val="22"/>
          <w:szCs w:val="22"/>
        </w:rPr>
        <w:t>method of demolition and restoration of the site</w:t>
      </w:r>
      <w:r w:rsidR="003317D1" w:rsidRPr="003317D1">
        <w:rPr>
          <w:rFonts w:ascii="Arial" w:eastAsia="Arial" w:hAnsi="Arial" w:cs="Arial"/>
          <w:color w:val="212121"/>
          <w:sz w:val="22"/>
          <w:szCs w:val="22"/>
        </w:rPr>
        <w: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w:t>
      </w:r>
      <w:r w:rsidR="003317D1" w:rsidRPr="006A459D">
        <w:rPr>
          <w:rFonts w:ascii="Arial" w:eastAsia="Arial" w:hAnsi="Arial" w:cs="Arial"/>
          <w:b/>
          <w:bCs/>
          <w:color w:val="212121"/>
          <w:sz w:val="22"/>
          <w:szCs w:val="22"/>
        </w:rPr>
        <w:t>prior approval is</w:t>
      </w:r>
      <w:r w:rsidR="003317D1" w:rsidRPr="003317D1">
        <w:rPr>
          <w:rFonts w:ascii="Arial" w:eastAsia="Arial" w:hAnsi="Arial" w:cs="Arial"/>
          <w:color w:val="212121"/>
          <w:sz w:val="22"/>
          <w:szCs w:val="22"/>
        </w:rPr>
        <w:t xml:space="preserve"> </w:t>
      </w:r>
      <w:r w:rsidR="003317D1" w:rsidRPr="006A459D">
        <w:rPr>
          <w:rFonts w:ascii="Arial" w:eastAsia="Arial" w:hAnsi="Arial" w:cs="Arial"/>
          <w:b/>
          <w:bCs/>
          <w:color w:val="212121"/>
          <w:sz w:val="22"/>
          <w:szCs w:val="22"/>
        </w:rPr>
        <w:t>not required</w:t>
      </w:r>
      <w:r w:rsidR="003317D1" w:rsidRPr="003317D1">
        <w:rPr>
          <w:rFonts w:ascii="Arial" w:eastAsia="Arial" w:hAnsi="Arial" w:cs="Arial"/>
          <w:color w:val="212121"/>
          <w:sz w:val="22"/>
          <w:szCs w:val="22"/>
        </w:rPr>
        <w:t>, and the development may proceed in accordance with the submitted details.</w:t>
      </w:r>
    </w:p>
    <w:p w14:paraId="30140965" w14:textId="77777777" w:rsidR="00602B0D" w:rsidRDefault="00602B0D" w:rsidP="00DA1B44">
      <w:pPr>
        <w:spacing w:line="276" w:lineRule="auto"/>
        <w:jc w:val="both"/>
        <w:rPr>
          <w:rFonts w:ascii="Arial" w:eastAsia="Arial" w:hAnsi="Arial" w:cs="Arial"/>
          <w:color w:val="212121"/>
          <w:sz w:val="22"/>
          <w:szCs w:val="22"/>
        </w:rPr>
      </w:pPr>
    </w:p>
    <w:p w14:paraId="65E6A6E3" w14:textId="77777777" w:rsidR="00602B0D" w:rsidRPr="008478DC" w:rsidRDefault="00602B0D" w:rsidP="00DA1B44">
      <w:pPr>
        <w:spacing w:line="276" w:lineRule="auto"/>
        <w:jc w:val="both"/>
        <w:rPr>
          <w:rFonts w:ascii="Arial" w:eastAsia="Arial" w:hAnsi="Arial" w:cs="Arial"/>
          <w:b/>
          <w:bCs/>
          <w:color w:val="212121"/>
          <w:sz w:val="22"/>
          <w:szCs w:val="22"/>
        </w:rPr>
      </w:pPr>
    </w:p>
    <w:p w14:paraId="5C9D3538" w14:textId="77777777" w:rsidR="00FF7FC1" w:rsidRDefault="0095569E" w:rsidP="00DA1B44">
      <w:pPr>
        <w:spacing w:line="276" w:lineRule="auto"/>
        <w:jc w:val="both"/>
        <w:rPr>
          <w:rFonts w:ascii="Arial" w:eastAsia="Arial" w:hAnsi="Arial" w:cs="Arial"/>
          <w:b/>
          <w:bCs/>
          <w:sz w:val="22"/>
          <w:szCs w:val="22"/>
        </w:rPr>
      </w:pPr>
      <w:r>
        <w:rPr>
          <w:rFonts w:ascii="Arial" w:eastAsia="Arial" w:hAnsi="Arial" w:cs="Arial"/>
          <w:b/>
          <w:bCs/>
          <w:sz w:val="22"/>
          <w:szCs w:val="22"/>
        </w:rPr>
        <w:t>RECOMMENDATION:</w:t>
      </w:r>
    </w:p>
    <w:p w14:paraId="160F8E9F" w14:textId="0205F550" w:rsidR="00EA1365" w:rsidRPr="00EA1365" w:rsidRDefault="0095569E" w:rsidP="00DA1B44">
      <w:pPr>
        <w:spacing w:line="276" w:lineRule="auto"/>
        <w:jc w:val="both"/>
        <w:rPr>
          <w:b/>
          <w:bCs/>
          <w:sz w:val="22"/>
          <w:szCs w:val="22"/>
        </w:rPr>
      </w:pPr>
      <w:r>
        <w:rPr>
          <w:rFonts w:ascii="Arial" w:eastAsia="Arial" w:hAnsi="Arial" w:cs="Arial"/>
          <w:b/>
          <w:bCs/>
          <w:sz w:val="22"/>
          <w:szCs w:val="22"/>
        </w:rPr>
        <w:t>That p</w:t>
      </w:r>
      <w:r w:rsidR="0072649E">
        <w:rPr>
          <w:rFonts w:ascii="Arial" w:eastAsia="Arial" w:hAnsi="Arial" w:cs="Arial"/>
          <w:b/>
          <w:bCs/>
          <w:sz w:val="22"/>
          <w:szCs w:val="22"/>
        </w:rPr>
        <w:t>rior approval</w:t>
      </w:r>
      <w:r w:rsidR="007F3664">
        <w:rPr>
          <w:rFonts w:ascii="Arial" w:eastAsia="Arial" w:hAnsi="Arial" w:cs="Arial"/>
          <w:b/>
          <w:bCs/>
          <w:sz w:val="22"/>
          <w:szCs w:val="22"/>
        </w:rPr>
        <w:t xml:space="preserve"> </w:t>
      </w:r>
      <w:r w:rsidR="006A459D">
        <w:rPr>
          <w:rFonts w:ascii="Arial" w:eastAsia="Arial" w:hAnsi="Arial" w:cs="Arial"/>
          <w:b/>
          <w:bCs/>
          <w:sz w:val="22"/>
          <w:szCs w:val="22"/>
        </w:rPr>
        <w:t xml:space="preserve">NOT </w:t>
      </w:r>
      <w:r w:rsidR="0072649E">
        <w:rPr>
          <w:rFonts w:ascii="Arial" w:eastAsia="Arial" w:hAnsi="Arial" w:cs="Arial"/>
          <w:b/>
          <w:bCs/>
          <w:sz w:val="22"/>
          <w:szCs w:val="22"/>
        </w:rPr>
        <w:t>required</w:t>
      </w:r>
      <w:r w:rsidR="006A459D">
        <w:rPr>
          <w:rFonts w:ascii="Arial" w:eastAsia="Arial" w:hAnsi="Arial" w:cs="Arial"/>
          <w:b/>
          <w:bCs/>
          <w:sz w:val="22"/>
          <w:szCs w:val="22"/>
        </w:rPr>
        <w:t xml:space="preserve">. </w:t>
      </w:r>
    </w:p>
    <w:p w14:paraId="6DDF251A" w14:textId="77777777" w:rsidR="00F239E1" w:rsidRDefault="00F239E1" w:rsidP="00DA1B44">
      <w:pPr>
        <w:spacing w:line="276" w:lineRule="auto"/>
        <w:jc w:val="both"/>
        <w:rPr>
          <w:rFonts w:ascii="Arial" w:eastAsia="Arial" w:hAnsi="Arial" w:cs="Arial"/>
          <w:sz w:val="22"/>
          <w:szCs w:val="22"/>
        </w:rPr>
      </w:pPr>
    </w:p>
    <w:p w14:paraId="30D8C429" w14:textId="77777777" w:rsidR="009C290E" w:rsidRPr="009C290E" w:rsidRDefault="009C290E" w:rsidP="00DA1B44">
      <w:pPr>
        <w:pStyle w:val="ListParagraph"/>
        <w:spacing w:line="276" w:lineRule="auto"/>
        <w:jc w:val="both"/>
        <w:rPr>
          <w:rFonts w:ascii="Arial" w:hAnsi="Arial" w:cs="Arial"/>
          <w:sz w:val="22"/>
          <w:szCs w:val="22"/>
        </w:rPr>
      </w:pPr>
    </w:p>
    <w:p w14:paraId="06EA391B" w14:textId="77777777" w:rsidR="00353313" w:rsidRDefault="00C94D9F" w:rsidP="00DA1B44">
      <w:pPr>
        <w:spacing w:line="276" w:lineRule="auto"/>
        <w:rPr>
          <w:sz w:val="22"/>
          <w:szCs w:val="22"/>
        </w:rPr>
      </w:pPr>
      <w:r>
        <w:rPr>
          <w:rFonts w:ascii="Arial" w:eastAsia="Arial" w:hAnsi="Arial" w:cs="Arial"/>
          <w:sz w:val="22"/>
          <w:szCs w:val="22"/>
        </w:rPr>
        <w:t>  </w:t>
      </w:r>
    </w:p>
    <w:p w14:paraId="629D7CF9"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4ED05730" w14:textId="77777777" w:rsidR="001F499E" w:rsidRDefault="001F499E" w:rsidP="00DA1B44">
      <w:pPr>
        <w:spacing w:line="276" w:lineRule="auto"/>
        <w:rPr>
          <w:rFonts w:ascii="Arial" w:eastAsia="Arial" w:hAnsi="Arial" w:cs="Arial"/>
          <w:sz w:val="22"/>
          <w:szCs w:val="22"/>
        </w:rPr>
      </w:pPr>
    </w:p>
    <w:p w14:paraId="29ADBA82" w14:textId="77777777" w:rsidR="001F499E" w:rsidRDefault="001F499E" w:rsidP="00DA1B44">
      <w:pPr>
        <w:spacing w:line="276" w:lineRule="auto"/>
        <w:rPr>
          <w:rFonts w:ascii="Arial" w:eastAsia="Arial" w:hAnsi="Arial" w:cs="Arial"/>
          <w:sz w:val="22"/>
          <w:szCs w:val="22"/>
        </w:rPr>
      </w:pPr>
    </w:p>
    <w:p w14:paraId="08D8E08D" w14:textId="77777777" w:rsidR="001F499E" w:rsidRDefault="001F499E" w:rsidP="00DA1B44">
      <w:pPr>
        <w:spacing w:line="276" w:lineRule="auto"/>
        <w:rPr>
          <w:rFonts w:ascii="Arial" w:eastAsia="Arial" w:hAnsi="Arial" w:cs="Arial"/>
          <w:sz w:val="22"/>
          <w:szCs w:val="22"/>
        </w:rPr>
      </w:pPr>
    </w:p>
    <w:p w14:paraId="032B341A" w14:textId="77777777" w:rsidR="001F499E" w:rsidRDefault="001F499E" w:rsidP="00DA1B44">
      <w:pPr>
        <w:spacing w:line="276" w:lineRule="auto"/>
        <w:rPr>
          <w:rFonts w:ascii="Arial" w:eastAsia="Arial" w:hAnsi="Arial" w:cs="Arial"/>
          <w:sz w:val="22"/>
          <w:szCs w:val="22"/>
        </w:rPr>
      </w:pPr>
    </w:p>
    <w:p w14:paraId="2B7A89BC" w14:textId="77777777" w:rsidR="001F499E" w:rsidRDefault="001F499E" w:rsidP="00DA1B44">
      <w:pPr>
        <w:spacing w:line="276" w:lineRule="auto"/>
        <w:rPr>
          <w:rFonts w:ascii="Arial" w:eastAsia="Arial" w:hAnsi="Arial" w:cs="Arial"/>
          <w:sz w:val="22"/>
          <w:szCs w:val="22"/>
        </w:rPr>
      </w:pPr>
    </w:p>
    <w:p w14:paraId="1702C54C" w14:textId="77777777" w:rsidR="001F499E" w:rsidRDefault="001F499E" w:rsidP="00DA1B44">
      <w:pPr>
        <w:spacing w:line="276" w:lineRule="auto"/>
        <w:rPr>
          <w:rFonts w:ascii="Arial" w:eastAsia="Arial" w:hAnsi="Arial" w:cs="Arial"/>
          <w:sz w:val="22"/>
          <w:szCs w:val="22"/>
        </w:rPr>
      </w:pPr>
    </w:p>
    <w:p w14:paraId="6057B07A"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1F1A172F"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1"/>
        <w:gridCol w:w="7177"/>
        <w:gridCol w:w="6207"/>
      </w:tblGrid>
      <w:tr w:rsidR="00DE3C5D" w14:paraId="3D4B737D" w14:textId="77777777" w:rsidTr="00931AA5">
        <w:trPr>
          <w:trHeight w:hRule="exact" w:val="20"/>
        </w:trPr>
        <w:tc>
          <w:tcPr>
            <w:tcW w:w="791" w:type="dxa"/>
            <w:tcBorders>
              <w:top w:val="nil"/>
              <w:left w:val="nil"/>
              <w:bottom w:val="nil"/>
              <w:right w:val="nil"/>
            </w:tcBorders>
          </w:tcPr>
          <w:p w14:paraId="46F817E7" w14:textId="77777777" w:rsidR="00DE3C5D" w:rsidRDefault="00DE3C5D" w:rsidP="0073237E">
            <w:pPr>
              <w:spacing w:line="276" w:lineRule="auto"/>
              <w:rPr>
                <w:sz w:val="2"/>
              </w:rPr>
            </w:pPr>
            <w:bookmarkStart w:id="2" w:name="_cc084b84_37ce_4bac_8b1e_05f5df0869bf"/>
            <w:r>
              <w:rPr>
                <w:sz w:val="2"/>
              </w:rPr>
              <w:lastRenderedPageBreak/>
              <w:t>A</w:t>
            </w:r>
          </w:p>
        </w:tc>
        <w:tc>
          <w:tcPr>
            <w:tcW w:w="7177" w:type="dxa"/>
            <w:tcBorders>
              <w:top w:val="nil"/>
              <w:left w:val="nil"/>
              <w:bottom w:val="nil"/>
              <w:right w:val="nil"/>
            </w:tcBorders>
          </w:tcPr>
          <w:p w14:paraId="36B9CABE" w14:textId="77777777" w:rsidR="00DE3C5D" w:rsidRPr="00BD0229" w:rsidRDefault="00DE3C5D" w:rsidP="0073237E">
            <w:pPr>
              <w:spacing w:line="276" w:lineRule="auto"/>
              <w:jc w:val="both"/>
              <w:rPr>
                <w:rFonts w:ascii="Arial" w:eastAsia="Arial" w:hAnsi="Arial" w:cs="Arial"/>
                <w:i/>
                <w:iCs/>
                <w:color w:val="ED0000"/>
                <w:sz w:val="22"/>
                <w:szCs w:val="22"/>
              </w:rPr>
            </w:pPr>
          </w:p>
          <w:p w14:paraId="10A39BFD" w14:textId="77777777" w:rsidR="00DE3C5D" w:rsidRPr="00BD0229" w:rsidRDefault="00DE3C5D" w:rsidP="0073237E">
            <w:pPr>
              <w:spacing w:line="276" w:lineRule="auto"/>
              <w:jc w:val="both"/>
              <w:rPr>
                <w:rFonts w:ascii="Arial" w:eastAsia="Arial" w:hAnsi="Arial" w:cs="Arial"/>
                <w:i/>
                <w:iCs/>
                <w:color w:val="ED0000"/>
                <w:sz w:val="22"/>
                <w:szCs w:val="22"/>
              </w:rPr>
            </w:pPr>
          </w:p>
          <w:p w14:paraId="6FA3FEE4" w14:textId="77777777" w:rsidR="00DE3C5D" w:rsidRDefault="00DE3C5D" w:rsidP="0073237E">
            <w:pPr>
              <w:spacing w:line="276" w:lineRule="auto"/>
              <w:jc w:val="both"/>
              <w:rPr>
                <w:rFonts w:ascii="Arial" w:eastAsia="Arial" w:hAnsi="Arial" w:cs="Arial"/>
                <w:i/>
                <w:iCs/>
                <w:color w:val="ED0000"/>
                <w:sz w:val="22"/>
                <w:szCs w:val="22"/>
              </w:rPr>
            </w:pPr>
          </w:p>
          <w:p w14:paraId="017663B3" w14:textId="77777777" w:rsidR="00DE3C5D" w:rsidRDefault="00DE3C5D" w:rsidP="0073237E">
            <w:pPr>
              <w:spacing w:line="276" w:lineRule="auto"/>
              <w:rPr>
                <w:sz w:val="2"/>
              </w:rPr>
            </w:pPr>
          </w:p>
        </w:tc>
        <w:tc>
          <w:tcPr>
            <w:tcW w:w="6207" w:type="dxa"/>
            <w:tcBorders>
              <w:top w:val="nil"/>
              <w:left w:val="nil"/>
              <w:bottom w:val="nil"/>
              <w:right w:val="nil"/>
            </w:tcBorders>
          </w:tcPr>
          <w:p w14:paraId="35DB68AD" w14:textId="77777777" w:rsidR="00DE3C5D" w:rsidRDefault="00DE3C5D" w:rsidP="0073237E">
            <w:pPr>
              <w:spacing w:line="276" w:lineRule="auto"/>
              <w:rPr>
                <w:sz w:val="2"/>
              </w:rPr>
            </w:pPr>
          </w:p>
        </w:tc>
      </w:tr>
      <w:tr w:rsidR="00DE3C5D" w14:paraId="47AF2AF7" w14:textId="77777777" w:rsidTr="0073237E">
        <w:tc>
          <w:tcPr>
            <w:tcW w:w="14175" w:type="dxa"/>
            <w:gridSpan w:val="3"/>
            <w:shd w:val="clear" w:color="auto" w:fill="D9D9D9" w:themeFill="background1" w:themeFillShade="D9"/>
          </w:tcPr>
          <w:p w14:paraId="129A6206"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2C447C0D" w14:textId="77777777" w:rsidTr="00931AA5">
        <w:tc>
          <w:tcPr>
            <w:tcW w:w="791" w:type="dxa"/>
            <w:shd w:val="clear" w:color="auto" w:fill="D9D9D9" w:themeFill="background1" w:themeFillShade="D9"/>
          </w:tcPr>
          <w:p w14:paraId="261014B5" w14:textId="77777777" w:rsidR="00DE3C5D" w:rsidRDefault="00DE3C5D" w:rsidP="0073237E">
            <w:pPr>
              <w:spacing w:line="276" w:lineRule="auto"/>
              <w:jc w:val="both"/>
              <w:rPr>
                <w:rFonts w:ascii="Arial" w:eastAsia="Arial" w:hAnsi="Arial" w:cs="Arial"/>
                <w:i/>
                <w:iCs/>
                <w:color w:val="ED0000"/>
                <w:sz w:val="22"/>
                <w:szCs w:val="22"/>
              </w:rPr>
            </w:pPr>
          </w:p>
        </w:tc>
        <w:tc>
          <w:tcPr>
            <w:tcW w:w="7177" w:type="dxa"/>
            <w:shd w:val="clear" w:color="auto" w:fill="D9D9D9" w:themeFill="background1" w:themeFillShade="D9"/>
          </w:tcPr>
          <w:p w14:paraId="51F72876"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07" w:type="dxa"/>
            <w:shd w:val="clear" w:color="auto" w:fill="D9D9D9" w:themeFill="background1" w:themeFillShade="D9"/>
          </w:tcPr>
          <w:p w14:paraId="11D8265D"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FD269D5" w14:textId="77777777" w:rsidTr="00931AA5">
        <w:tc>
          <w:tcPr>
            <w:tcW w:w="791" w:type="dxa"/>
          </w:tcPr>
          <w:p w14:paraId="5A57D663" w14:textId="069F9D83" w:rsidR="00DE3C5D" w:rsidRPr="003C0D62" w:rsidRDefault="00A5433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177" w:type="dxa"/>
          </w:tcPr>
          <w:p w14:paraId="53F5A68F" w14:textId="09E10D0E" w:rsidR="00DE3C5D" w:rsidRPr="003C0D62" w:rsidRDefault="00B62A0D" w:rsidP="0073237E">
            <w:pPr>
              <w:spacing w:line="276" w:lineRule="auto"/>
              <w:jc w:val="both"/>
              <w:rPr>
                <w:rFonts w:ascii="Arial" w:eastAsia="Arial" w:hAnsi="Arial" w:cs="Arial"/>
                <w:color w:val="000000" w:themeColor="text1"/>
                <w:sz w:val="22"/>
                <w:szCs w:val="22"/>
              </w:rPr>
            </w:pPr>
            <w:r w:rsidRPr="00B62A0D">
              <w:rPr>
                <w:rFonts w:ascii="Arial" w:eastAsia="Arial" w:hAnsi="Arial" w:cs="Arial"/>
                <w:color w:val="000000" w:themeColor="text1"/>
                <w:sz w:val="22"/>
                <w:szCs w:val="22"/>
              </w:rPr>
              <w:t>Does the proposal involve the demolition of a building?</w:t>
            </w:r>
          </w:p>
        </w:tc>
        <w:tc>
          <w:tcPr>
            <w:tcW w:w="6207" w:type="dxa"/>
          </w:tcPr>
          <w:p w14:paraId="12039E09" w14:textId="1BA0A46B" w:rsidR="00DE3C5D" w:rsidRPr="003A02DA" w:rsidRDefault="003A02DA" w:rsidP="0073237E">
            <w:pPr>
              <w:spacing w:line="276" w:lineRule="auto"/>
              <w:jc w:val="both"/>
              <w:rPr>
                <w:rFonts w:ascii="Arial" w:eastAsia="Arial" w:hAnsi="Arial" w:cs="Arial"/>
                <w:color w:val="ED0000"/>
                <w:sz w:val="22"/>
                <w:szCs w:val="22"/>
              </w:rPr>
            </w:pPr>
            <w:r w:rsidRPr="003A02DA">
              <w:rPr>
                <w:rFonts w:ascii="Arial" w:eastAsia="Arial" w:hAnsi="Arial" w:cs="Arial"/>
                <w:sz w:val="22"/>
                <w:szCs w:val="22"/>
              </w:rPr>
              <w:t>Yes</w:t>
            </w:r>
          </w:p>
        </w:tc>
      </w:tr>
      <w:tr w:rsidR="00DE3C5D" w14:paraId="558D6ED9" w14:textId="77777777" w:rsidTr="0073237E">
        <w:tc>
          <w:tcPr>
            <w:tcW w:w="14175" w:type="dxa"/>
            <w:gridSpan w:val="3"/>
            <w:shd w:val="clear" w:color="auto" w:fill="D9D9D9" w:themeFill="background1" w:themeFillShade="D9"/>
          </w:tcPr>
          <w:p w14:paraId="3632CA73" w14:textId="725B69AA"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00B13849">
              <w:rPr>
                <w:rFonts w:ascii="Arial" w:eastAsia="Arial" w:hAnsi="Arial" w:cs="Arial"/>
                <w:b/>
                <w:bCs/>
                <w:color w:val="000000" w:themeColor="text1"/>
                <w:sz w:val="22"/>
                <w:szCs w:val="22"/>
              </w:rPr>
              <w:t>B.1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 xml:space="preserve">Development not permitted by Class </w:t>
            </w:r>
            <w:r w:rsidR="00B13849">
              <w:rPr>
                <w:rFonts w:ascii="Arial" w:eastAsia="Arial" w:hAnsi="Arial" w:cs="Arial"/>
                <w:b/>
                <w:bCs/>
                <w:color w:val="000000" w:themeColor="text1"/>
                <w:sz w:val="22"/>
                <w:szCs w:val="22"/>
              </w:rPr>
              <w:t>B</w:t>
            </w:r>
            <w:r w:rsidRPr="00F16C86">
              <w:rPr>
                <w:rFonts w:ascii="Arial" w:eastAsia="Arial" w:hAnsi="Arial" w:cs="Arial"/>
                <w:b/>
                <w:bCs/>
                <w:color w:val="000000" w:themeColor="text1"/>
                <w:sz w:val="22"/>
                <w:szCs w:val="22"/>
              </w:rPr>
              <w:t>:</w:t>
            </w:r>
          </w:p>
        </w:tc>
      </w:tr>
      <w:tr w:rsidR="00DE3C5D" w14:paraId="6F311A84" w14:textId="77777777" w:rsidTr="00931AA5">
        <w:tc>
          <w:tcPr>
            <w:tcW w:w="791" w:type="dxa"/>
          </w:tcPr>
          <w:p w14:paraId="2DE2693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177" w:type="dxa"/>
          </w:tcPr>
          <w:p w14:paraId="61EAB8B8" w14:textId="0F855784" w:rsidR="00DE3C5D" w:rsidRPr="00F16C86" w:rsidRDefault="00A0700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Has </w:t>
            </w:r>
            <w:r w:rsidRPr="00A0700F">
              <w:rPr>
                <w:rFonts w:ascii="Arial" w:eastAsia="Arial" w:hAnsi="Arial" w:cs="Arial"/>
                <w:color w:val="000000" w:themeColor="text1"/>
                <w:sz w:val="22"/>
                <w:szCs w:val="22"/>
              </w:rPr>
              <w:t xml:space="preserve">the building been rendered unsafe or otherwise uninhabitable by the action or inaction of any person having an interest in the land on which the building stands and </w:t>
            </w:r>
            <w:r w:rsidR="00F1066F">
              <w:rPr>
                <w:rFonts w:ascii="Arial" w:eastAsia="Arial" w:hAnsi="Arial" w:cs="Arial"/>
                <w:color w:val="000000" w:themeColor="text1"/>
                <w:sz w:val="22"/>
                <w:szCs w:val="22"/>
              </w:rPr>
              <w:t>is it</w:t>
            </w:r>
            <w:r w:rsidRPr="00A0700F">
              <w:rPr>
                <w:rFonts w:ascii="Arial" w:eastAsia="Arial" w:hAnsi="Arial" w:cs="Arial"/>
                <w:color w:val="000000" w:themeColor="text1"/>
                <w:sz w:val="22"/>
                <w:szCs w:val="22"/>
              </w:rPr>
              <w:t xml:space="preserve"> practicable to secure safety or health by works of repair or works for affording temporary support</w:t>
            </w:r>
            <w:r w:rsidR="00F1066F">
              <w:rPr>
                <w:rFonts w:ascii="Arial" w:eastAsia="Arial" w:hAnsi="Arial" w:cs="Arial"/>
                <w:color w:val="000000" w:themeColor="text1"/>
                <w:sz w:val="22"/>
                <w:szCs w:val="22"/>
              </w:rPr>
              <w:t>?</w:t>
            </w:r>
          </w:p>
        </w:tc>
        <w:tc>
          <w:tcPr>
            <w:tcW w:w="6207" w:type="dxa"/>
          </w:tcPr>
          <w:p w14:paraId="04BD59F7" w14:textId="5DE908C7"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1CAFB257" w14:textId="77777777" w:rsidTr="00931AA5">
        <w:tc>
          <w:tcPr>
            <w:tcW w:w="791" w:type="dxa"/>
          </w:tcPr>
          <w:p w14:paraId="49D3263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177" w:type="dxa"/>
          </w:tcPr>
          <w:p w14:paraId="446E44AE" w14:textId="3D4D8E81" w:rsidR="00DE3C5D" w:rsidRPr="00F16C86" w:rsidRDefault="008B456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Is </w:t>
            </w:r>
            <w:r w:rsidRPr="008B4569">
              <w:rPr>
                <w:rFonts w:ascii="Arial" w:eastAsia="Arial" w:hAnsi="Arial" w:cs="Arial"/>
                <w:color w:val="000000" w:themeColor="text1"/>
                <w:sz w:val="22"/>
                <w:szCs w:val="22"/>
              </w:rPr>
              <w:t>the demolition “relevant demolition” for the purposes of section 196D of the Act (demolition of an unlisted etc building in a conservation area)</w:t>
            </w:r>
            <w:r>
              <w:rPr>
                <w:rFonts w:ascii="Arial" w:eastAsia="Arial" w:hAnsi="Arial" w:cs="Arial"/>
                <w:color w:val="000000" w:themeColor="text1"/>
                <w:sz w:val="22"/>
                <w:szCs w:val="22"/>
              </w:rPr>
              <w:t>?</w:t>
            </w:r>
          </w:p>
        </w:tc>
        <w:tc>
          <w:tcPr>
            <w:tcW w:w="6207" w:type="dxa"/>
          </w:tcPr>
          <w:p w14:paraId="554D973C" w14:textId="7C4BDE70"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0015D4D" w14:textId="77777777" w:rsidTr="00931AA5">
        <w:tc>
          <w:tcPr>
            <w:tcW w:w="791" w:type="dxa"/>
          </w:tcPr>
          <w:p w14:paraId="1B596968" w14:textId="31A62E8D"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r w:rsidR="009C4D84">
              <w:rPr>
                <w:rFonts w:ascii="Arial" w:eastAsia="Arial" w:hAnsi="Arial" w:cs="Arial"/>
                <w:color w:val="000000" w:themeColor="text1"/>
                <w:sz w:val="22"/>
                <w:szCs w:val="22"/>
              </w:rPr>
              <w:t>(</w:t>
            </w:r>
            <w:proofErr w:type="spellStart"/>
            <w:r w:rsidR="009C4D84">
              <w:rPr>
                <w:rFonts w:ascii="Arial" w:eastAsia="Arial" w:hAnsi="Arial" w:cs="Arial"/>
                <w:color w:val="000000" w:themeColor="text1"/>
                <w:sz w:val="22"/>
                <w:szCs w:val="22"/>
              </w:rPr>
              <w:t>i</w:t>
            </w:r>
            <w:proofErr w:type="spellEnd"/>
            <w:r w:rsidR="009C4D84">
              <w:rPr>
                <w:rFonts w:ascii="Arial" w:eastAsia="Arial" w:hAnsi="Arial" w:cs="Arial"/>
                <w:color w:val="000000" w:themeColor="text1"/>
                <w:sz w:val="22"/>
                <w:szCs w:val="22"/>
              </w:rPr>
              <w:t>)</w:t>
            </w:r>
          </w:p>
        </w:tc>
        <w:tc>
          <w:tcPr>
            <w:tcW w:w="7177" w:type="dxa"/>
          </w:tcPr>
          <w:p w14:paraId="502D7E4A" w14:textId="2DEA2D5C" w:rsidR="00DE3C5D" w:rsidRPr="00F16C86" w:rsidRDefault="009C4D84" w:rsidP="009C4D84">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Was </w:t>
            </w:r>
            <w:r w:rsidRPr="009C4D84">
              <w:rPr>
                <w:rFonts w:ascii="Arial" w:eastAsia="Arial" w:hAnsi="Arial" w:cs="Arial"/>
                <w:color w:val="000000" w:themeColor="text1"/>
                <w:sz w:val="22"/>
                <w:szCs w:val="22"/>
              </w:rPr>
              <w:t xml:space="preserve">the building used, or was </w:t>
            </w:r>
            <w:r>
              <w:rPr>
                <w:rFonts w:ascii="Arial" w:eastAsia="Arial" w:hAnsi="Arial" w:cs="Arial"/>
                <w:color w:val="000000" w:themeColor="text1"/>
                <w:sz w:val="22"/>
                <w:szCs w:val="22"/>
              </w:rPr>
              <w:t xml:space="preserve">it </w:t>
            </w:r>
            <w:r w:rsidRPr="009C4D84">
              <w:rPr>
                <w:rFonts w:ascii="Arial" w:eastAsia="Arial" w:hAnsi="Arial" w:cs="Arial"/>
                <w:color w:val="000000" w:themeColor="text1"/>
                <w:sz w:val="22"/>
                <w:szCs w:val="22"/>
              </w:rPr>
              <w:t>last used, for a purpose falling within</w:t>
            </w:r>
            <w:r w:rsidR="00553596">
              <w:rPr>
                <w:rFonts w:ascii="Arial" w:eastAsia="Arial" w:hAnsi="Arial" w:cs="Arial"/>
                <w:color w:val="000000" w:themeColor="text1"/>
                <w:sz w:val="22"/>
                <w:szCs w:val="22"/>
              </w:rPr>
              <w:t xml:space="preserve"> </w:t>
            </w:r>
            <w:r w:rsidRPr="009C4D84">
              <w:rPr>
                <w:rFonts w:ascii="Arial" w:eastAsia="Arial" w:hAnsi="Arial" w:cs="Arial"/>
                <w:color w:val="000000" w:themeColor="text1"/>
                <w:sz w:val="22"/>
                <w:szCs w:val="22"/>
              </w:rPr>
              <w:t>article 3(6)(p) (drinking establishments etc.) of the Use Classes Order</w:t>
            </w:r>
            <w:r w:rsidR="00553596">
              <w:rPr>
                <w:rFonts w:ascii="Arial" w:eastAsia="Arial" w:hAnsi="Arial" w:cs="Arial"/>
                <w:color w:val="000000" w:themeColor="text1"/>
                <w:sz w:val="22"/>
                <w:szCs w:val="22"/>
              </w:rPr>
              <w:t>?</w:t>
            </w:r>
            <w:r w:rsidRPr="009C4D84">
              <w:rPr>
                <w:rFonts w:ascii="Arial" w:eastAsia="Arial" w:hAnsi="Arial" w:cs="Arial"/>
                <w:color w:val="000000" w:themeColor="text1"/>
                <w:sz w:val="22"/>
                <w:szCs w:val="22"/>
              </w:rPr>
              <w:t xml:space="preserve"> </w:t>
            </w:r>
          </w:p>
        </w:tc>
        <w:tc>
          <w:tcPr>
            <w:tcW w:w="6207" w:type="dxa"/>
          </w:tcPr>
          <w:p w14:paraId="7C52CFF8" w14:textId="1A0BB67A"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0C75DF3" w14:textId="77777777" w:rsidTr="00931AA5">
        <w:tc>
          <w:tcPr>
            <w:tcW w:w="791" w:type="dxa"/>
          </w:tcPr>
          <w:p w14:paraId="1F64FE5C" w14:textId="53CBB905" w:rsidR="00DE3C5D" w:rsidRDefault="0055359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(c)(ii)</w:t>
            </w:r>
          </w:p>
        </w:tc>
        <w:tc>
          <w:tcPr>
            <w:tcW w:w="7177" w:type="dxa"/>
          </w:tcPr>
          <w:p w14:paraId="007EC96C" w14:textId="7BB15AA0" w:rsidR="00DE3C5D" w:rsidRPr="00F16C86" w:rsidRDefault="00553596" w:rsidP="0073237E">
            <w:pPr>
              <w:spacing w:line="276" w:lineRule="auto"/>
              <w:jc w:val="both"/>
              <w:rPr>
                <w:rFonts w:ascii="Arial" w:eastAsia="Arial" w:hAnsi="Arial" w:cs="Arial"/>
                <w:color w:val="000000" w:themeColor="text1"/>
                <w:sz w:val="22"/>
                <w:szCs w:val="22"/>
              </w:rPr>
            </w:pPr>
            <w:r w:rsidRPr="00553596">
              <w:rPr>
                <w:rFonts w:ascii="Arial" w:eastAsia="Arial" w:hAnsi="Arial" w:cs="Arial"/>
                <w:color w:val="000000" w:themeColor="text1"/>
                <w:sz w:val="22"/>
                <w:szCs w:val="22"/>
              </w:rPr>
              <w:t>Was the building used, or was it last used, for a purpose falling within</w:t>
            </w:r>
            <w:r>
              <w:rPr>
                <w:rFonts w:ascii="Arial" w:eastAsia="Arial" w:hAnsi="Arial" w:cs="Arial"/>
                <w:color w:val="000000" w:themeColor="text1"/>
                <w:sz w:val="22"/>
                <w:szCs w:val="22"/>
              </w:rPr>
              <w:t xml:space="preserve"> </w:t>
            </w:r>
            <w:r w:rsidRPr="00553596">
              <w:rPr>
                <w:rFonts w:ascii="Arial" w:eastAsia="Arial" w:hAnsi="Arial" w:cs="Arial"/>
                <w:color w:val="000000" w:themeColor="text1"/>
                <w:sz w:val="22"/>
                <w:szCs w:val="22"/>
              </w:rPr>
              <w:t xml:space="preserve">article 3(6)(q) (drinking establishments with expanded food provision) of </w:t>
            </w:r>
            <w:r>
              <w:rPr>
                <w:rFonts w:ascii="Arial" w:eastAsia="Arial" w:hAnsi="Arial" w:cs="Arial"/>
                <w:color w:val="000000" w:themeColor="text1"/>
                <w:sz w:val="22"/>
                <w:szCs w:val="22"/>
              </w:rPr>
              <w:t>the Use Classes Order?</w:t>
            </w:r>
          </w:p>
        </w:tc>
        <w:tc>
          <w:tcPr>
            <w:tcW w:w="6207" w:type="dxa"/>
          </w:tcPr>
          <w:p w14:paraId="1B01D7FA" w14:textId="71DC91AA"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E5DC534" w14:textId="77777777" w:rsidTr="00931AA5">
        <w:tc>
          <w:tcPr>
            <w:tcW w:w="791" w:type="dxa"/>
          </w:tcPr>
          <w:p w14:paraId="6B6C073B" w14:textId="4999B3BF" w:rsidR="00DE3C5D" w:rsidRPr="003C0D62" w:rsidRDefault="00185D1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177" w:type="dxa"/>
          </w:tcPr>
          <w:p w14:paraId="2A5E63B9" w14:textId="73CCDDD7" w:rsidR="00DE3C5D" w:rsidRPr="003C0D62" w:rsidRDefault="00185D1F" w:rsidP="00185D1F">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Was </w:t>
            </w:r>
            <w:r w:rsidRPr="00185D1F">
              <w:rPr>
                <w:rFonts w:ascii="Arial" w:eastAsia="Arial" w:hAnsi="Arial" w:cs="Arial"/>
                <w:color w:val="000000" w:themeColor="text1"/>
                <w:sz w:val="22"/>
                <w:szCs w:val="22"/>
              </w:rPr>
              <w:t>the building used, or was last used, for the purpose of</w:t>
            </w:r>
            <w:r>
              <w:rPr>
                <w:rFonts w:ascii="Arial" w:eastAsia="Arial" w:hAnsi="Arial" w:cs="Arial"/>
                <w:color w:val="000000" w:themeColor="text1"/>
                <w:sz w:val="22"/>
                <w:szCs w:val="22"/>
              </w:rPr>
              <w:t xml:space="preserve"> </w:t>
            </w:r>
            <w:r w:rsidRPr="00185D1F">
              <w:rPr>
                <w:rFonts w:ascii="Arial" w:eastAsia="Arial" w:hAnsi="Arial" w:cs="Arial"/>
                <w:color w:val="000000" w:themeColor="text1"/>
                <w:sz w:val="22"/>
                <w:szCs w:val="22"/>
              </w:rPr>
              <w:t>a concert hall</w:t>
            </w:r>
            <w:r>
              <w:rPr>
                <w:rFonts w:ascii="Arial" w:eastAsia="Arial" w:hAnsi="Arial" w:cs="Arial"/>
                <w:color w:val="000000" w:themeColor="text1"/>
                <w:sz w:val="22"/>
                <w:szCs w:val="22"/>
              </w:rPr>
              <w:t>?</w:t>
            </w:r>
          </w:p>
        </w:tc>
        <w:tc>
          <w:tcPr>
            <w:tcW w:w="6207" w:type="dxa"/>
          </w:tcPr>
          <w:p w14:paraId="0224870E" w14:textId="1AD257BD"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D31FA28" w14:textId="77777777" w:rsidTr="00931AA5">
        <w:tc>
          <w:tcPr>
            <w:tcW w:w="791" w:type="dxa"/>
          </w:tcPr>
          <w:p w14:paraId="7E6340AB" w14:textId="09B7C96C"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185D1F">
              <w:rPr>
                <w:rFonts w:ascii="Arial" w:eastAsia="Arial" w:hAnsi="Arial" w:cs="Arial"/>
                <w:color w:val="000000" w:themeColor="text1"/>
                <w:sz w:val="22"/>
                <w:szCs w:val="22"/>
              </w:rPr>
              <w:t>d</w:t>
            </w:r>
            <w:r>
              <w:rPr>
                <w:rFonts w:ascii="Arial" w:eastAsia="Arial" w:hAnsi="Arial" w:cs="Arial"/>
                <w:color w:val="000000" w:themeColor="text1"/>
                <w:sz w:val="22"/>
                <w:szCs w:val="22"/>
              </w:rPr>
              <w:t>)(ii)</w:t>
            </w:r>
          </w:p>
        </w:tc>
        <w:tc>
          <w:tcPr>
            <w:tcW w:w="7177" w:type="dxa"/>
          </w:tcPr>
          <w:p w14:paraId="40B4DCBA" w14:textId="6BE522B9" w:rsidR="00DE3C5D" w:rsidRPr="00A00A03" w:rsidRDefault="00185D1F" w:rsidP="0073237E">
            <w:pPr>
              <w:spacing w:line="276" w:lineRule="auto"/>
              <w:jc w:val="both"/>
              <w:rPr>
                <w:rFonts w:ascii="Arial" w:eastAsia="Arial" w:hAnsi="Arial" w:cs="Arial"/>
                <w:color w:val="000000" w:themeColor="text1"/>
                <w:sz w:val="22"/>
                <w:szCs w:val="22"/>
              </w:rPr>
            </w:pPr>
            <w:r w:rsidRPr="00185D1F">
              <w:rPr>
                <w:rFonts w:ascii="Arial" w:eastAsia="Arial" w:hAnsi="Arial" w:cs="Arial"/>
                <w:color w:val="000000" w:themeColor="text1"/>
                <w:sz w:val="22"/>
                <w:szCs w:val="22"/>
              </w:rPr>
              <w:t>Was the building used, or was last used, for the purpose of a</w:t>
            </w:r>
            <w:r w:rsidR="00A31DBC" w:rsidRPr="00A31DBC">
              <w:rPr>
                <w:rFonts w:ascii="Arial" w:eastAsia="Arial" w:hAnsi="Arial" w:cs="Arial"/>
                <w:color w:val="000000" w:themeColor="text1"/>
                <w:sz w:val="22"/>
                <w:szCs w:val="22"/>
              </w:rPr>
              <w:t xml:space="preserve"> venue for live music performance</w:t>
            </w:r>
            <w:r w:rsidRPr="00185D1F">
              <w:rPr>
                <w:rFonts w:ascii="Arial" w:eastAsia="Arial" w:hAnsi="Arial" w:cs="Arial"/>
                <w:color w:val="000000" w:themeColor="text1"/>
                <w:sz w:val="22"/>
                <w:szCs w:val="22"/>
              </w:rPr>
              <w:t>?</w:t>
            </w:r>
          </w:p>
        </w:tc>
        <w:tc>
          <w:tcPr>
            <w:tcW w:w="6207" w:type="dxa"/>
          </w:tcPr>
          <w:p w14:paraId="7584A81B" w14:textId="559A06B8"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C40B1AE" w14:textId="77777777" w:rsidTr="00931AA5">
        <w:tc>
          <w:tcPr>
            <w:tcW w:w="791" w:type="dxa"/>
          </w:tcPr>
          <w:p w14:paraId="0156D588" w14:textId="682BE9F0" w:rsidR="00DE3C5D" w:rsidRPr="003C0D62" w:rsidRDefault="00A31DB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(d)(iii)</w:t>
            </w:r>
          </w:p>
        </w:tc>
        <w:tc>
          <w:tcPr>
            <w:tcW w:w="7177" w:type="dxa"/>
          </w:tcPr>
          <w:p w14:paraId="7B4A85C3" w14:textId="6E02B894" w:rsidR="00DE3C5D" w:rsidRPr="00AB6989" w:rsidRDefault="00A31DBC" w:rsidP="0073237E">
            <w:pPr>
              <w:spacing w:line="276" w:lineRule="auto"/>
              <w:jc w:val="both"/>
              <w:rPr>
                <w:rFonts w:ascii="Arial" w:eastAsia="Arial" w:hAnsi="Arial" w:cs="Arial"/>
                <w:color w:val="000000" w:themeColor="text1"/>
                <w:sz w:val="22"/>
                <w:szCs w:val="22"/>
              </w:rPr>
            </w:pPr>
            <w:r w:rsidRPr="00A31DBC">
              <w:rPr>
                <w:rFonts w:ascii="Arial" w:eastAsia="Arial" w:hAnsi="Arial" w:cs="Arial"/>
                <w:color w:val="000000" w:themeColor="text1"/>
                <w:sz w:val="22"/>
                <w:szCs w:val="22"/>
              </w:rPr>
              <w:t xml:space="preserve">Was the building used, or was last used, for the purpose of a venue for </w:t>
            </w:r>
            <w:r w:rsidR="00FF0AB3" w:rsidRPr="00FF0AB3">
              <w:rPr>
                <w:rFonts w:ascii="Arial" w:eastAsia="Arial" w:hAnsi="Arial" w:cs="Arial"/>
                <w:color w:val="000000" w:themeColor="text1"/>
                <w:sz w:val="22"/>
                <w:szCs w:val="22"/>
              </w:rPr>
              <w:t>a theatre</w:t>
            </w:r>
            <w:r w:rsidRPr="00A31DBC">
              <w:rPr>
                <w:rFonts w:ascii="Arial" w:eastAsia="Arial" w:hAnsi="Arial" w:cs="Arial"/>
                <w:color w:val="000000" w:themeColor="text1"/>
                <w:sz w:val="22"/>
                <w:szCs w:val="22"/>
              </w:rPr>
              <w:t>?</w:t>
            </w:r>
          </w:p>
        </w:tc>
        <w:tc>
          <w:tcPr>
            <w:tcW w:w="6207" w:type="dxa"/>
          </w:tcPr>
          <w:p w14:paraId="74FA955B" w14:textId="5E7A65E9" w:rsidR="00DE3C5D" w:rsidRPr="003C0D62" w:rsidRDefault="003A02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9872B29" w14:textId="77777777" w:rsidTr="00931AA5">
        <w:tc>
          <w:tcPr>
            <w:tcW w:w="791" w:type="dxa"/>
          </w:tcPr>
          <w:p w14:paraId="68ED3028" w14:textId="5C2F4D19"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FF0AB3">
              <w:rPr>
                <w:rFonts w:ascii="Arial" w:eastAsia="Arial" w:hAnsi="Arial" w:cs="Arial"/>
                <w:color w:val="000000" w:themeColor="text1"/>
                <w:sz w:val="22"/>
                <w:szCs w:val="22"/>
              </w:rPr>
              <w:t>e</w:t>
            </w:r>
            <w:r>
              <w:rPr>
                <w:rFonts w:ascii="Arial" w:eastAsia="Arial" w:hAnsi="Arial" w:cs="Arial"/>
                <w:color w:val="000000" w:themeColor="text1"/>
                <w:sz w:val="22"/>
                <w:szCs w:val="22"/>
              </w:rPr>
              <w:t>)</w:t>
            </w:r>
            <w:r w:rsidR="00142BDE">
              <w:rPr>
                <w:rFonts w:ascii="Arial" w:eastAsia="Arial" w:hAnsi="Arial" w:cs="Arial"/>
                <w:color w:val="000000" w:themeColor="text1"/>
                <w:sz w:val="22"/>
                <w:szCs w:val="22"/>
              </w:rPr>
              <w:t>(</w:t>
            </w:r>
            <w:proofErr w:type="spellStart"/>
            <w:r w:rsidR="00142BDE">
              <w:rPr>
                <w:rFonts w:ascii="Arial" w:eastAsia="Arial" w:hAnsi="Arial" w:cs="Arial"/>
                <w:color w:val="000000" w:themeColor="text1"/>
                <w:sz w:val="22"/>
                <w:szCs w:val="22"/>
              </w:rPr>
              <w:t>i</w:t>
            </w:r>
            <w:proofErr w:type="spellEnd"/>
            <w:r w:rsidR="00142BDE">
              <w:rPr>
                <w:rFonts w:ascii="Arial" w:eastAsia="Arial" w:hAnsi="Arial" w:cs="Arial"/>
                <w:color w:val="000000" w:themeColor="text1"/>
                <w:sz w:val="22"/>
                <w:szCs w:val="22"/>
              </w:rPr>
              <w:t>)</w:t>
            </w:r>
          </w:p>
        </w:tc>
        <w:tc>
          <w:tcPr>
            <w:tcW w:w="7177" w:type="dxa"/>
          </w:tcPr>
          <w:p w14:paraId="6E5D6777" w14:textId="1220AE60" w:rsidR="00DE3C5D" w:rsidRPr="007D1410" w:rsidRDefault="00142BDE" w:rsidP="00142BD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Would </w:t>
            </w:r>
            <w:r w:rsidRPr="00142BDE">
              <w:rPr>
                <w:rFonts w:ascii="Arial" w:eastAsia="Arial" w:hAnsi="Arial" w:cs="Arial"/>
                <w:color w:val="000000" w:themeColor="text1"/>
                <w:sz w:val="22"/>
                <w:szCs w:val="22"/>
              </w:rPr>
              <w:t>the demolition relate to a statue, memorial or monument (“a commemorative structure”) in place for a period of at least 10 years on the date of any proposed demolition, other than a commemorative structure</w:t>
            </w:r>
            <w:r>
              <w:rPr>
                <w:rFonts w:ascii="Arial" w:eastAsia="Arial" w:hAnsi="Arial" w:cs="Arial"/>
                <w:color w:val="000000" w:themeColor="text1"/>
                <w:sz w:val="22"/>
                <w:szCs w:val="22"/>
              </w:rPr>
              <w:t xml:space="preserve">, </w:t>
            </w:r>
            <w:r w:rsidRPr="00142BDE">
              <w:rPr>
                <w:rFonts w:ascii="Arial" w:eastAsia="Arial" w:hAnsi="Arial" w:cs="Arial"/>
                <w:color w:val="000000" w:themeColor="text1"/>
                <w:sz w:val="22"/>
                <w:szCs w:val="22"/>
              </w:rPr>
              <w:t>that is a listed building</w:t>
            </w:r>
            <w:r>
              <w:rPr>
                <w:rFonts w:ascii="Arial" w:eastAsia="Arial" w:hAnsi="Arial" w:cs="Arial"/>
                <w:color w:val="000000" w:themeColor="text1"/>
                <w:sz w:val="22"/>
                <w:szCs w:val="22"/>
              </w:rPr>
              <w:t>?</w:t>
            </w:r>
          </w:p>
        </w:tc>
        <w:tc>
          <w:tcPr>
            <w:tcW w:w="6207" w:type="dxa"/>
          </w:tcPr>
          <w:p w14:paraId="10572084" w14:textId="1D59D69B" w:rsidR="00DE3C5D" w:rsidRPr="003C0D62" w:rsidRDefault="00C87C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5BA0FF" w14:textId="77777777" w:rsidTr="00931AA5">
        <w:tc>
          <w:tcPr>
            <w:tcW w:w="791" w:type="dxa"/>
          </w:tcPr>
          <w:p w14:paraId="518FC179" w14:textId="50D5CFB5"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r w:rsidR="00142BDE">
              <w:rPr>
                <w:rFonts w:ascii="Arial" w:eastAsia="Arial" w:hAnsi="Arial" w:cs="Arial"/>
                <w:color w:val="000000" w:themeColor="text1"/>
                <w:sz w:val="22"/>
                <w:szCs w:val="22"/>
              </w:rPr>
              <w:t>e)(ii)</w:t>
            </w:r>
          </w:p>
        </w:tc>
        <w:tc>
          <w:tcPr>
            <w:tcW w:w="7177" w:type="dxa"/>
          </w:tcPr>
          <w:p w14:paraId="12FE2949" w14:textId="28D5690E" w:rsidR="00DE3C5D" w:rsidRPr="003C0D62" w:rsidRDefault="00142BDE" w:rsidP="0073237E">
            <w:pPr>
              <w:spacing w:line="276" w:lineRule="auto"/>
              <w:jc w:val="both"/>
              <w:rPr>
                <w:rFonts w:ascii="Arial" w:eastAsia="Arial" w:hAnsi="Arial" w:cs="Arial"/>
                <w:color w:val="000000" w:themeColor="text1"/>
                <w:sz w:val="22"/>
                <w:szCs w:val="22"/>
              </w:rPr>
            </w:pPr>
            <w:r w:rsidRPr="00142BDE">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7A7A5F" w:rsidRPr="007A7A5F">
              <w:rPr>
                <w:rFonts w:ascii="Arial" w:eastAsia="Arial" w:hAnsi="Arial" w:cs="Arial"/>
                <w:color w:val="000000" w:themeColor="text1"/>
                <w:sz w:val="22"/>
                <w:szCs w:val="22"/>
              </w:rPr>
              <w:t>that is a scheduled monument</w:t>
            </w:r>
            <w:r w:rsidR="007A7A5F">
              <w:rPr>
                <w:rFonts w:ascii="Arial" w:eastAsia="Arial" w:hAnsi="Arial" w:cs="Arial"/>
                <w:color w:val="000000" w:themeColor="text1"/>
                <w:sz w:val="22"/>
                <w:szCs w:val="22"/>
              </w:rPr>
              <w:t>?</w:t>
            </w:r>
          </w:p>
        </w:tc>
        <w:tc>
          <w:tcPr>
            <w:tcW w:w="6207" w:type="dxa"/>
          </w:tcPr>
          <w:p w14:paraId="3B827F55" w14:textId="567C9DB7" w:rsidR="00DE3C5D" w:rsidRPr="003C0D62" w:rsidRDefault="00C87C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29A5626" w14:textId="77777777" w:rsidTr="00931AA5">
        <w:tc>
          <w:tcPr>
            <w:tcW w:w="791" w:type="dxa"/>
          </w:tcPr>
          <w:p w14:paraId="0E3C0432" w14:textId="42087EE6" w:rsidR="00DE3C5D" w:rsidRPr="003C0D62" w:rsidRDefault="007A7A5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(e)</w:t>
            </w:r>
            <w:r w:rsidR="00DE3C5D">
              <w:rPr>
                <w:rFonts w:ascii="Arial" w:eastAsia="Arial" w:hAnsi="Arial" w:cs="Arial"/>
                <w:color w:val="000000" w:themeColor="text1"/>
                <w:sz w:val="22"/>
                <w:szCs w:val="22"/>
              </w:rPr>
              <w:t>(i</w:t>
            </w:r>
            <w:r>
              <w:rPr>
                <w:rFonts w:ascii="Arial" w:eastAsia="Arial" w:hAnsi="Arial" w:cs="Arial"/>
                <w:color w:val="000000" w:themeColor="text1"/>
                <w:sz w:val="22"/>
                <w:szCs w:val="22"/>
              </w:rPr>
              <w:t>ii</w:t>
            </w:r>
            <w:r w:rsidR="00DE3C5D">
              <w:rPr>
                <w:rFonts w:ascii="Arial" w:eastAsia="Arial" w:hAnsi="Arial" w:cs="Arial"/>
                <w:color w:val="000000" w:themeColor="text1"/>
                <w:sz w:val="22"/>
                <w:szCs w:val="22"/>
              </w:rPr>
              <w:t>)</w:t>
            </w:r>
          </w:p>
        </w:tc>
        <w:tc>
          <w:tcPr>
            <w:tcW w:w="7177" w:type="dxa"/>
          </w:tcPr>
          <w:p w14:paraId="2F79B66D" w14:textId="79303BFA" w:rsidR="00DE3C5D" w:rsidRPr="003C0D62" w:rsidRDefault="007A7A5F" w:rsidP="0073237E">
            <w:pPr>
              <w:spacing w:line="276" w:lineRule="auto"/>
              <w:jc w:val="both"/>
              <w:rPr>
                <w:rFonts w:ascii="Arial" w:eastAsia="Arial" w:hAnsi="Arial" w:cs="Arial"/>
                <w:color w:val="000000" w:themeColor="text1"/>
                <w:sz w:val="22"/>
                <w:szCs w:val="22"/>
              </w:rPr>
            </w:pPr>
            <w:r w:rsidRPr="007A7A5F">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535829" w:rsidRPr="00535829">
              <w:rPr>
                <w:rFonts w:ascii="Arial" w:eastAsia="Arial" w:hAnsi="Arial" w:cs="Arial"/>
                <w:color w:val="000000" w:themeColor="text1"/>
                <w:sz w:val="22"/>
                <w:szCs w:val="22"/>
              </w:rPr>
              <w:t>within a cemetery, on consecrated land, or within the curtilage of a place of public worship</w:t>
            </w:r>
            <w:r w:rsidR="00535829">
              <w:rPr>
                <w:rFonts w:ascii="Arial" w:eastAsia="Arial" w:hAnsi="Arial" w:cs="Arial"/>
                <w:color w:val="000000" w:themeColor="text1"/>
                <w:sz w:val="22"/>
                <w:szCs w:val="22"/>
              </w:rPr>
              <w:t>?</w:t>
            </w:r>
          </w:p>
        </w:tc>
        <w:tc>
          <w:tcPr>
            <w:tcW w:w="6207" w:type="dxa"/>
          </w:tcPr>
          <w:p w14:paraId="6B583947" w14:textId="7E322AB5" w:rsidR="00DE3C5D" w:rsidRPr="003C0D62" w:rsidRDefault="00C87C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F1E811" w14:textId="77777777" w:rsidTr="00931AA5">
        <w:tc>
          <w:tcPr>
            <w:tcW w:w="791" w:type="dxa"/>
          </w:tcPr>
          <w:p w14:paraId="65E7C54C" w14:textId="78799937" w:rsidR="00DE3C5D" w:rsidRPr="003C0D62" w:rsidRDefault="00535829" w:rsidP="0073237E">
            <w:pPr>
              <w:spacing w:line="276" w:lineRule="auto"/>
              <w:jc w:val="both"/>
              <w:rPr>
                <w:rFonts w:ascii="Arial" w:eastAsia="Arial" w:hAnsi="Arial" w:cs="Arial"/>
                <w:color w:val="000000" w:themeColor="text1"/>
                <w:sz w:val="22"/>
                <w:szCs w:val="22"/>
              </w:rPr>
            </w:pPr>
            <w:r w:rsidRPr="00535829">
              <w:rPr>
                <w:rFonts w:ascii="Arial" w:eastAsia="Arial" w:hAnsi="Arial" w:cs="Arial"/>
                <w:color w:val="000000" w:themeColor="text1"/>
                <w:sz w:val="22"/>
                <w:szCs w:val="22"/>
              </w:rPr>
              <w:t>(e)(i</w:t>
            </w:r>
            <w:r w:rsidR="00991E25">
              <w:rPr>
                <w:rFonts w:ascii="Arial" w:eastAsia="Arial" w:hAnsi="Arial" w:cs="Arial"/>
                <w:color w:val="000000" w:themeColor="text1"/>
                <w:sz w:val="22"/>
                <w:szCs w:val="22"/>
              </w:rPr>
              <w:t>v</w:t>
            </w:r>
            <w:r w:rsidRPr="00535829">
              <w:rPr>
                <w:rFonts w:ascii="Arial" w:eastAsia="Arial" w:hAnsi="Arial" w:cs="Arial"/>
                <w:color w:val="000000" w:themeColor="text1"/>
                <w:sz w:val="22"/>
                <w:szCs w:val="22"/>
              </w:rPr>
              <w:t>)</w:t>
            </w:r>
          </w:p>
        </w:tc>
        <w:tc>
          <w:tcPr>
            <w:tcW w:w="7177" w:type="dxa"/>
          </w:tcPr>
          <w:p w14:paraId="0788D81E" w14:textId="473C8D7A" w:rsidR="00DE3C5D" w:rsidRPr="001113D6" w:rsidRDefault="00535829" w:rsidP="0073237E">
            <w:pPr>
              <w:spacing w:line="276" w:lineRule="auto"/>
              <w:jc w:val="both"/>
              <w:rPr>
                <w:rFonts w:ascii="Arial" w:eastAsia="Arial" w:hAnsi="Arial" w:cs="Arial"/>
                <w:color w:val="000000" w:themeColor="text1"/>
                <w:sz w:val="22"/>
                <w:szCs w:val="22"/>
              </w:rPr>
            </w:pPr>
            <w:r w:rsidRPr="00535829">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991E25" w:rsidRPr="00991E25">
              <w:rPr>
                <w:rFonts w:ascii="Arial" w:eastAsia="Arial" w:hAnsi="Arial" w:cs="Arial"/>
                <w:color w:val="000000" w:themeColor="text1"/>
                <w:sz w:val="22"/>
                <w:szCs w:val="22"/>
              </w:rPr>
              <w:t>within the grounds of a museum or art gallery</w:t>
            </w:r>
            <w:r w:rsidRPr="00535829">
              <w:rPr>
                <w:rFonts w:ascii="Arial" w:eastAsia="Arial" w:hAnsi="Arial" w:cs="Arial"/>
                <w:color w:val="000000" w:themeColor="text1"/>
                <w:sz w:val="22"/>
                <w:szCs w:val="22"/>
              </w:rPr>
              <w:t>?</w:t>
            </w:r>
          </w:p>
        </w:tc>
        <w:tc>
          <w:tcPr>
            <w:tcW w:w="6207" w:type="dxa"/>
          </w:tcPr>
          <w:p w14:paraId="27D7B2C5" w14:textId="6108EE3B" w:rsidR="00DE3C5D" w:rsidRPr="003C0D62" w:rsidRDefault="00C87C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B207579" w14:textId="77777777" w:rsidTr="00931AA5">
        <w:tc>
          <w:tcPr>
            <w:tcW w:w="791" w:type="dxa"/>
          </w:tcPr>
          <w:p w14:paraId="13608602" w14:textId="54AE8ED6" w:rsidR="00DE3C5D" w:rsidRPr="003C0D62" w:rsidRDefault="00991E25" w:rsidP="0073237E">
            <w:pPr>
              <w:spacing w:line="276" w:lineRule="auto"/>
              <w:jc w:val="both"/>
              <w:rPr>
                <w:rFonts w:ascii="Arial" w:eastAsia="Arial" w:hAnsi="Arial" w:cs="Arial"/>
                <w:color w:val="000000" w:themeColor="text1"/>
                <w:sz w:val="22"/>
                <w:szCs w:val="22"/>
              </w:rPr>
            </w:pPr>
            <w:r w:rsidRPr="00991E25">
              <w:rPr>
                <w:rFonts w:ascii="Arial" w:eastAsia="Arial" w:hAnsi="Arial" w:cs="Arial"/>
                <w:color w:val="000000" w:themeColor="text1"/>
                <w:sz w:val="22"/>
                <w:szCs w:val="22"/>
              </w:rPr>
              <w:t>(e)(v)</w:t>
            </w:r>
          </w:p>
        </w:tc>
        <w:tc>
          <w:tcPr>
            <w:tcW w:w="7177" w:type="dxa"/>
          </w:tcPr>
          <w:p w14:paraId="7901A62F" w14:textId="00804A49" w:rsidR="00DE3C5D" w:rsidRPr="003C0D62" w:rsidRDefault="00991E25" w:rsidP="0073237E">
            <w:pPr>
              <w:spacing w:line="276" w:lineRule="auto"/>
              <w:jc w:val="both"/>
              <w:rPr>
                <w:rFonts w:ascii="Arial" w:eastAsia="Arial" w:hAnsi="Arial" w:cs="Arial"/>
                <w:color w:val="000000" w:themeColor="text1"/>
                <w:sz w:val="22"/>
                <w:szCs w:val="22"/>
              </w:rPr>
            </w:pPr>
            <w:r w:rsidRPr="00991E25">
              <w:rPr>
                <w:rFonts w:ascii="Arial" w:eastAsia="Arial" w:hAnsi="Arial" w:cs="Arial"/>
                <w:color w:val="000000" w:themeColor="text1"/>
                <w:sz w:val="22"/>
                <w:szCs w:val="22"/>
              </w:rPr>
              <w:t xml:space="preserve">Would the demolition relate to a statue, memorial or monument (“a commemorative structure”) in place for a period of at least 10 years on the date of any proposed demolition, other than a commemorative structure, </w:t>
            </w:r>
            <w:r w:rsidR="00931AA5" w:rsidRPr="00931AA5">
              <w:rPr>
                <w:rFonts w:ascii="Arial" w:eastAsia="Arial" w:hAnsi="Arial" w:cs="Arial"/>
                <w:color w:val="000000" w:themeColor="text1"/>
                <w:sz w:val="22"/>
                <w:szCs w:val="22"/>
              </w:rPr>
              <w:t>within the curtilage of a dwellinghouse</w:t>
            </w:r>
            <w:r w:rsidRPr="00991E25">
              <w:rPr>
                <w:rFonts w:ascii="Arial" w:eastAsia="Arial" w:hAnsi="Arial" w:cs="Arial"/>
                <w:color w:val="000000" w:themeColor="text1"/>
                <w:sz w:val="22"/>
                <w:szCs w:val="22"/>
              </w:rPr>
              <w:t>?</w:t>
            </w:r>
          </w:p>
        </w:tc>
        <w:tc>
          <w:tcPr>
            <w:tcW w:w="6207" w:type="dxa"/>
          </w:tcPr>
          <w:p w14:paraId="4F514066" w14:textId="05E303FE" w:rsidR="00DE3C5D" w:rsidRPr="003C0D62" w:rsidRDefault="00C87C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46AD6C6F" w14:textId="77777777" w:rsidR="001F499E" w:rsidRDefault="001F499E" w:rsidP="00DA1B44">
      <w:pPr>
        <w:spacing w:line="276" w:lineRule="auto"/>
      </w:pPr>
    </w:p>
    <w:p w14:paraId="60615F73" w14:textId="77777777" w:rsidR="00551971" w:rsidRDefault="00551971" w:rsidP="00DA1B44">
      <w:pPr>
        <w:spacing w:line="276" w:lineRule="auto"/>
      </w:pPr>
    </w:p>
    <w:p w14:paraId="0E8980A9" w14:textId="77777777" w:rsidR="00551971" w:rsidRDefault="00551971" w:rsidP="00551971">
      <w:pPr>
        <w:spacing w:line="276" w:lineRule="auto"/>
        <w:jc w:val="both"/>
        <w:rPr>
          <w:rFonts w:ascii="Arial" w:hAnsi="Arial" w:cs="Arial"/>
          <w:sz w:val="22"/>
          <w:szCs w:val="22"/>
        </w:rPr>
      </w:pPr>
      <w:r w:rsidRPr="00551971">
        <w:rPr>
          <w:rFonts w:ascii="Arial" w:hAnsi="Arial" w:cs="Arial"/>
          <w:b/>
          <w:bCs/>
          <w:sz w:val="22"/>
          <w:szCs w:val="22"/>
        </w:rPr>
        <w:t>Important:</w:t>
      </w:r>
      <w:r w:rsidRPr="00551971">
        <w:rPr>
          <w:rFonts w:ascii="Arial" w:hAnsi="Arial" w:cs="Arial"/>
          <w:sz w:val="22"/>
          <w:szCs w:val="22"/>
        </w:rPr>
        <w:br/>
        <w:t xml:space="preserve">Under Article 3(1) of the GPDO, permitted development rights apply </w:t>
      </w:r>
      <w:r w:rsidRPr="00551971">
        <w:rPr>
          <w:rFonts w:ascii="Arial" w:hAnsi="Arial" w:cs="Arial"/>
          <w:i/>
          <w:iCs/>
          <w:sz w:val="22"/>
          <w:szCs w:val="22"/>
        </w:rPr>
        <w:t>only</w:t>
      </w:r>
      <w:r w:rsidRPr="00551971">
        <w:rPr>
          <w:rFonts w:ascii="Arial" w:hAnsi="Arial" w:cs="Arial"/>
          <w:sz w:val="22"/>
          <w:szCs w:val="22"/>
        </w:rPr>
        <w:t xml:space="preserve"> where the proposal satisfies all limitations, conditions and restrictions of the relevant Class.</w:t>
      </w:r>
    </w:p>
    <w:p w14:paraId="38CF5761" w14:textId="77777777" w:rsidR="00551971" w:rsidRPr="00551971" w:rsidRDefault="00551971" w:rsidP="00551971">
      <w:pPr>
        <w:spacing w:line="276" w:lineRule="auto"/>
        <w:jc w:val="both"/>
        <w:rPr>
          <w:rFonts w:ascii="Arial" w:hAnsi="Arial" w:cs="Arial"/>
          <w:sz w:val="22"/>
          <w:szCs w:val="22"/>
        </w:rPr>
      </w:pPr>
    </w:p>
    <w:p w14:paraId="4C198CDD" w14:textId="77777777" w:rsidR="00551971" w:rsidRPr="00551971" w:rsidRDefault="00551971" w:rsidP="00551971">
      <w:pPr>
        <w:spacing w:line="276" w:lineRule="auto"/>
        <w:jc w:val="both"/>
        <w:rPr>
          <w:rFonts w:ascii="Arial" w:hAnsi="Arial" w:cs="Arial"/>
          <w:sz w:val="22"/>
          <w:szCs w:val="22"/>
        </w:rPr>
      </w:pPr>
      <w:r w:rsidRPr="00551971">
        <w:rPr>
          <w:rFonts w:ascii="Arial" w:hAnsi="Arial" w:cs="Arial"/>
          <w:sz w:val="22"/>
          <w:szCs w:val="22"/>
        </w:rPr>
        <w:t>If the proposal fails to meet any part of Class B, the LPA has no power to grant prior approval, and planning permission is required.</w:t>
      </w:r>
    </w:p>
    <w:p w14:paraId="5E1707F0" w14:textId="77777777" w:rsidR="00551971" w:rsidRDefault="00551971" w:rsidP="00DA1B44">
      <w:pPr>
        <w:spacing w:line="276" w:lineRule="auto"/>
      </w:pPr>
    </w:p>
    <w:sectPr w:rsidR="00551971"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D5529"/>
    <w:multiLevelType w:val="hybridMultilevel"/>
    <w:tmpl w:val="BC42E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704E0"/>
    <w:multiLevelType w:val="hybridMultilevel"/>
    <w:tmpl w:val="872C2C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D164B7"/>
    <w:multiLevelType w:val="hybridMultilevel"/>
    <w:tmpl w:val="30ACA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27293"/>
    <w:multiLevelType w:val="hybridMultilevel"/>
    <w:tmpl w:val="851E6056"/>
    <w:lvl w:ilvl="0" w:tplc="C31ED1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84494"/>
    <w:multiLevelType w:val="hybridMultilevel"/>
    <w:tmpl w:val="2A6CC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2828D9"/>
    <w:multiLevelType w:val="hybridMultilevel"/>
    <w:tmpl w:val="6A165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9E025E"/>
    <w:multiLevelType w:val="hybridMultilevel"/>
    <w:tmpl w:val="220ED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5333CD"/>
    <w:multiLevelType w:val="hybridMultilevel"/>
    <w:tmpl w:val="F878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D77E10"/>
    <w:multiLevelType w:val="hybridMultilevel"/>
    <w:tmpl w:val="9A52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433F68"/>
    <w:multiLevelType w:val="hybridMultilevel"/>
    <w:tmpl w:val="514E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506451">
    <w:abstractNumId w:val="18"/>
  </w:num>
  <w:num w:numId="2" w16cid:durableId="761028448">
    <w:abstractNumId w:val="10"/>
  </w:num>
  <w:num w:numId="3" w16cid:durableId="1032149218">
    <w:abstractNumId w:val="4"/>
  </w:num>
  <w:num w:numId="4" w16cid:durableId="811825614">
    <w:abstractNumId w:val="20"/>
  </w:num>
  <w:num w:numId="5" w16cid:durableId="171147161">
    <w:abstractNumId w:val="9"/>
  </w:num>
  <w:num w:numId="6" w16cid:durableId="1056004726">
    <w:abstractNumId w:val="21"/>
  </w:num>
  <w:num w:numId="7" w16cid:durableId="207030780">
    <w:abstractNumId w:val="16"/>
  </w:num>
  <w:num w:numId="8" w16cid:durableId="1943563611">
    <w:abstractNumId w:val="23"/>
  </w:num>
  <w:num w:numId="9" w16cid:durableId="633410553">
    <w:abstractNumId w:val="6"/>
  </w:num>
  <w:num w:numId="10" w16cid:durableId="285085162">
    <w:abstractNumId w:val="0"/>
  </w:num>
  <w:num w:numId="11" w16cid:durableId="237398427">
    <w:abstractNumId w:val="5"/>
  </w:num>
  <w:num w:numId="12" w16cid:durableId="476070739">
    <w:abstractNumId w:val="12"/>
  </w:num>
  <w:num w:numId="13" w16cid:durableId="536434718">
    <w:abstractNumId w:val="17"/>
  </w:num>
  <w:num w:numId="14" w16cid:durableId="735203391">
    <w:abstractNumId w:val="14"/>
  </w:num>
  <w:num w:numId="15" w16cid:durableId="790367552">
    <w:abstractNumId w:val="22"/>
  </w:num>
  <w:num w:numId="16" w16cid:durableId="274750116">
    <w:abstractNumId w:val="13"/>
  </w:num>
  <w:num w:numId="17" w16cid:durableId="1236160662">
    <w:abstractNumId w:val="1"/>
  </w:num>
  <w:num w:numId="18" w16cid:durableId="453400830">
    <w:abstractNumId w:val="15"/>
  </w:num>
  <w:num w:numId="19" w16cid:durableId="1677338627">
    <w:abstractNumId w:val="11"/>
  </w:num>
  <w:num w:numId="20" w16cid:durableId="1113397631">
    <w:abstractNumId w:val="19"/>
  </w:num>
  <w:num w:numId="21" w16cid:durableId="1126583957">
    <w:abstractNumId w:val="26"/>
  </w:num>
  <w:num w:numId="22" w16cid:durableId="426194020">
    <w:abstractNumId w:val="7"/>
  </w:num>
  <w:num w:numId="23" w16cid:durableId="644895365">
    <w:abstractNumId w:val="24"/>
  </w:num>
  <w:num w:numId="24" w16cid:durableId="1909147321">
    <w:abstractNumId w:val="8"/>
  </w:num>
  <w:num w:numId="25" w16cid:durableId="964849734">
    <w:abstractNumId w:val="3"/>
  </w:num>
  <w:num w:numId="26" w16cid:durableId="597560777">
    <w:abstractNumId w:val="25"/>
  </w:num>
  <w:num w:numId="27" w16cid:durableId="143856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114C"/>
    <w:rsid w:val="0004459A"/>
    <w:rsid w:val="000476AE"/>
    <w:rsid w:val="00047953"/>
    <w:rsid w:val="000516D1"/>
    <w:rsid w:val="00060FEE"/>
    <w:rsid w:val="00071E80"/>
    <w:rsid w:val="000967D2"/>
    <w:rsid w:val="000A13EA"/>
    <w:rsid w:val="000A178D"/>
    <w:rsid w:val="000A2FAF"/>
    <w:rsid w:val="000A47E2"/>
    <w:rsid w:val="000A6B73"/>
    <w:rsid w:val="000A7019"/>
    <w:rsid w:val="000B19B2"/>
    <w:rsid w:val="000B465E"/>
    <w:rsid w:val="000D3AB4"/>
    <w:rsid w:val="000E597F"/>
    <w:rsid w:val="000F3482"/>
    <w:rsid w:val="000F3D95"/>
    <w:rsid w:val="000F3EB3"/>
    <w:rsid w:val="001033D5"/>
    <w:rsid w:val="00107DEB"/>
    <w:rsid w:val="001113D6"/>
    <w:rsid w:val="001406AB"/>
    <w:rsid w:val="00142BDE"/>
    <w:rsid w:val="00145B49"/>
    <w:rsid w:val="0015568E"/>
    <w:rsid w:val="00156955"/>
    <w:rsid w:val="0016397C"/>
    <w:rsid w:val="00163A7A"/>
    <w:rsid w:val="001651AB"/>
    <w:rsid w:val="001678FA"/>
    <w:rsid w:val="001719AB"/>
    <w:rsid w:val="001756F0"/>
    <w:rsid w:val="00185D1F"/>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175E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178E"/>
    <w:rsid w:val="002E36B0"/>
    <w:rsid w:val="002E57C1"/>
    <w:rsid w:val="00302AAF"/>
    <w:rsid w:val="003049DD"/>
    <w:rsid w:val="00312964"/>
    <w:rsid w:val="00313C88"/>
    <w:rsid w:val="00315E63"/>
    <w:rsid w:val="003179E9"/>
    <w:rsid w:val="00320DB9"/>
    <w:rsid w:val="00322977"/>
    <w:rsid w:val="003233BC"/>
    <w:rsid w:val="003317D1"/>
    <w:rsid w:val="00345A59"/>
    <w:rsid w:val="00346F23"/>
    <w:rsid w:val="00353313"/>
    <w:rsid w:val="003614C1"/>
    <w:rsid w:val="003770C0"/>
    <w:rsid w:val="00382CB8"/>
    <w:rsid w:val="00383A91"/>
    <w:rsid w:val="00383D3A"/>
    <w:rsid w:val="003869AB"/>
    <w:rsid w:val="003A02DA"/>
    <w:rsid w:val="003A2515"/>
    <w:rsid w:val="003B5847"/>
    <w:rsid w:val="003C0D62"/>
    <w:rsid w:val="003C34FE"/>
    <w:rsid w:val="003E5299"/>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17E9"/>
    <w:rsid w:val="004A5CCA"/>
    <w:rsid w:val="004B43EA"/>
    <w:rsid w:val="004B4F23"/>
    <w:rsid w:val="004C61EA"/>
    <w:rsid w:val="004C6A92"/>
    <w:rsid w:val="004D094B"/>
    <w:rsid w:val="004D5B46"/>
    <w:rsid w:val="004F1A0B"/>
    <w:rsid w:val="004F630D"/>
    <w:rsid w:val="00500A5F"/>
    <w:rsid w:val="0050555B"/>
    <w:rsid w:val="00510980"/>
    <w:rsid w:val="00514AB5"/>
    <w:rsid w:val="00517040"/>
    <w:rsid w:val="0051704C"/>
    <w:rsid w:val="00535829"/>
    <w:rsid w:val="00551971"/>
    <w:rsid w:val="00553596"/>
    <w:rsid w:val="005720C3"/>
    <w:rsid w:val="005721FE"/>
    <w:rsid w:val="00573807"/>
    <w:rsid w:val="005758A9"/>
    <w:rsid w:val="005B0115"/>
    <w:rsid w:val="005B30E3"/>
    <w:rsid w:val="005D24DC"/>
    <w:rsid w:val="005D2B4C"/>
    <w:rsid w:val="005E3801"/>
    <w:rsid w:val="005E675D"/>
    <w:rsid w:val="005F1C4F"/>
    <w:rsid w:val="005F43C0"/>
    <w:rsid w:val="005F442C"/>
    <w:rsid w:val="00602B0D"/>
    <w:rsid w:val="006032B1"/>
    <w:rsid w:val="006120D8"/>
    <w:rsid w:val="00615410"/>
    <w:rsid w:val="0063563B"/>
    <w:rsid w:val="0063611E"/>
    <w:rsid w:val="006537BD"/>
    <w:rsid w:val="00671263"/>
    <w:rsid w:val="00672807"/>
    <w:rsid w:val="00691E4F"/>
    <w:rsid w:val="00695CE3"/>
    <w:rsid w:val="006A459D"/>
    <w:rsid w:val="006A5A80"/>
    <w:rsid w:val="006A69D6"/>
    <w:rsid w:val="006B0D73"/>
    <w:rsid w:val="006B5B92"/>
    <w:rsid w:val="006C484B"/>
    <w:rsid w:val="006D6067"/>
    <w:rsid w:val="006D7761"/>
    <w:rsid w:val="00700363"/>
    <w:rsid w:val="007102E7"/>
    <w:rsid w:val="0071275A"/>
    <w:rsid w:val="0071539E"/>
    <w:rsid w:val="00721CF7"/>
    <w:rsid w:val="00724B6E"/>
    <w:rsid w:val="0072649E"/>
    <w:rsid w:val="00741126"/>
    <w:rsid w:val="00741A8A"/>
    <w:rsid w:val="00744ECB"/>
    <w:rsid w:val="00757DEB"/>
    <w:rsid w:val="00761C7C"/>
    <w:rsid w:val="00792C92"/>
    <w:rsid w:val="00794973"/>
    <w:rsid w:val="007954E7"/>
    <w:rsid w:val="007A017A"/>
    <w:rsid w:val="007A5777"/>
    <w:rsid w:val="007A7A5F"/>
    <w:rsid w:val="007C56FA"/>
    <w:rsid w:val="007C74E2"/>
    <w:rsid w:val="007C7D6D"/>
    <w:rsid w:val="007D1410"/>
    <w:rsid w:val="007E76D8"/>
    <w:rsid w:val="007F35DC"/>
    <w:rsid w:val="007F3664"/>
    <w:rsid w:val="007F5C30"/>
    <w:rsid w:val="007F72D8"/>
    <w:rsid w:val="0080477A"/>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B4569"/>
    <w:rsid w:val="008B458D"/>
    <w:rsid w:val="008D4CCB"/>
    <w:rsid w:val="008E55EF"/>
    <w:rsid w:val="008F6637"/>
    <w:rsid w:val="00900C9D"/>
    <w:rsid w:val="00913866"/>
    <w:rsid w:val="00921F4E"/>
    <w:rsid w:val="00931AA5"/>
    <w:rsid w:val="00933410"/>
    <w:rsid w:val="0093743F"/>
    <w:rsid w:val="009379B5"/>
    <w:rsid w:val="0094004E"/>
    <w:rsid w:val="009425B5"/>
    <w:rsid w:val="0095569E"/>
    <w:rsid w:val="00960A19"/>
    <w:rsid w:val="0096386E"/>
    <w:rsid w:val="00986936"/>
    <w:rsid w:val="00991E25"/>
    <w:rsid w:val="00992EE8"/>
    <w:rsid w:val="00997FB8"/>
    <w:rsid w:val="009A0CDE"/>
    <w:rsid w:val="009B77E1"/>
    <w:rsid w:val="009C290E"/>
    <w:rsid w:val="009C4D84"/>
    <w:rsid w:val="009C6104"/>
    <w:rsid w:val="009C7F4E"/>
    <w:rsid w:val="009E621D"/>
    <w:rsid w:val="009E743F"/>
    <w:rsid w:val="009F6758"/>
    <w:rsid w:val="009F69B1"/>
    <w:rsid w:val="00A00A03"/>
    <w:rsid w:val="00A04A46"/>
    <w:rsid w:val="00A0700F"/>
    <w:rsid w:val="00A13A1B"/>
    <w:rsid w:val="00A161F9"/>
    <w:rsid w:val="00A17E2A"/>
    <w:rsid w:val="00A24CD6"/>
    <w:rsid w:val="00A31DBC"/>
    <w:rsid w:val="00A348D8"/>
    <w:rsid w:val="00A35BD0"/>
    <w:rsid w:val="00A35E33"/>
    <w:rsid w:val="00A36C91"/>
    <w:rsid w:val="00A406A1"/>
    <w:rsid w:val="00A42C4D"/>
    <w:rsid w:val="00A54331"/>
    <w:rsid w:val="00A62CE6"/>
    <w:rsid w:val="00A647B4"/>
    <w:rsid w:val="00A9231D"/>
    <w:rsid w:val="00A9476A"/>
    <w:rsid w:val="00AA1934"/>
    <w:rsid w:val="00AA38E5"/>
    <w:rsid w:val="00AA621B"/>
    <w:rsid w:val="00AA6AAB"/>
    <w:rsid w:val="00AB1B3F"/>
    <w:rsid w:val="00AB5EE1"/>
    <w:rsid w:val="00AB6989"/>
    <w:rsid w:val="00AE1B7E"/>
    <w:rsid w:val="00AE1C41"/>
    <w:rsid w:val="00AE26E3"/>
    <w:rsid w:val="00AE41A2"/>
    <w:rsid w:val="00B009DF"/>
    <w:rsid w:val="00B02F30"/>
    <w:rsid w:val="00B042CC"/>
    <w:rsid w:val="00B061BE"/>
    <w:rsid w:val="00B13849"/>
    <w:rsid w:val="00B203C3"/>
    <w:rsid w:val="00B2505F"/>
    <w:rsid w:val="00B2712C"/>
    <w:rsid w:val="00B42AF1"/>
    <w:rsid w:val="00B44BA6"/>
    <w:rsid w:val="00B559FC"/>
    <w:rsid w:val="00B62A0D"/>
    <w:rsid w:val="00B831F5"/>
    <w:rsid w:val="00B92615"/>
    <w:rsid w:val="00BA7718"/>
    <w:rsid w:val="00BB2751"/>
    <w:rsid w:val="00BB2E14"/>
    <w:rsid w:val="00BB34D2"/>
    <w:rsid w:val="00BB6027"/>
    <w:rsid w:val="00BD0229"/>
    <w:rsid w:val="00BD611C"/>
    <w:rsid w:val="00BE38C2"/>
    <w:rsid w:val="00BF67B2"/>
    <w:rsid w:val="00C00F74"/>
    <w:rsid w:val="00C06CE9"/>
    <w:rsid w:val="00C13A06"/>
    <w:rsid w:val="00C236DC"/>
    <w:rsid w:val="00C2647C"/>
    <w:rsid w:val="00C27043"/>
    <w:rsid w:val="00C31C13"/>
    <w:rsid w:val="00C35E38"/>
    <w:rsid w:val="00C476C1"/>
    <w:rsid w:val="00C53CD2"/>
    <w:rsid w:val="00C638C6"/>
    <w:rsid w:val="00C658A8"/>
    <w:rsid w:val="00C77143"/>
    <w:rsid w:val="00C80A8D"/>
    <w:rsid w:val="00C87CDA"/>
    <w:rsid w:val="00C92AD4"/>
    <w:rsid w:val="00C94D9F"/>
    <w:rsid w:val="00CB78D7"/>
    <w:rsid w:val="00CC51B9"/>
    <w:rsid w:val="00CC65F5"/>
    <w:rsid w:val="00CD0923"/>
    <w:rsid w:val="00CD4BF0"/>
    <w:rsid w:val="00CD682E"/>
    <w:rsid w:val="00CD6858"/>
    <w:rsid w:val="00CD6C16"/>
    <w:rsid w:val="00CF782F"/>
    <w:rsid w:val="00D03232"/>
    <w:rsid w:val="00D121AF"/>
    <w:rsid w:val="00D27DE8"/>
    <w:rsid w:val="00D358B0"/>
    <w:rsid w:val="00D35B22"/>
    <w:rsid w:val="00D5171A"/>
    <w:rsid w:val="00D51B58"/>
    <w:rsid w:val="00D53E88"/>
    <w:rsid w:val="00D639F8"/>
    <w:rsid w:val="00D64D65"/>
    <w:rsid w:val="00D65765"/>
    <w:rsid w:val="00D7069C"/>
    <w:rsid w:val="00D73A89"/>
    <w:rsid w:val="00D77EC8"/>
    <w:rsid w:val="00D95F4D"/>
    <w:rsid w:val="00DA1B44"/>
    <w:rsid w:val="00DA5438"/>
    <w:rsid w:val="00DB3F4A"/>
    <w:rsid w:val="00DC52A9"/>
    <w:rsid w:val="00DC6E56"/>
    <w:rsid w:val="00DD047D"/>
    <w:rsid w:val="00DD1EE9"/>
    <w:rsid w:val="00DE01EB"/>
    <w:rsid w:val="00DE3C5D"/>
    <w:rsid w:val="00DF09DE"/>
    <w:rsid w:val="00E36C0A"/>
    <w:rsid w:val="00E44658"/>
    <w:rsid w:val="00E56495"/>
    <w:rsid w:val="00E613AB"/>
    <w:rsid w:val="00E620C8"/>
    <w:rsid w:val="00E629F3"/>
    <w:rsid w:val="00E63542"/>
    <w:rsid w:val="00E93E2B"/>
    <w:rsid w:val="00EA1365"/>
    <w:rsid w:val="00EA42BA"/>
    <w:rsid w:val="00EB7628"/>
    <w:rsid w:val="00EC423D"/>
    <w:rsid w:val="00EC67E1"/>
    <w:rsid w:val="00ED5891"/>
    <w:rsid w:val="00ED5B39"/>
    <w:rsid w:val="00ED5CA3"/>
    <w:rsid w:val="00EE54B2"/>
    <w:rsid w:val="00EE5C03"/>
    <w:rsid w:val="00F01224"/>
    <w:rsid w:val="00F02E24"/>
    <w:rsid w:val="00F1066F"/>
    <w:rsid w:val="00F16C86"/>
    <w:rsid w:val="00F21E78"/>
    <w:rsid w:val="00F230A1"/>
    <w:rsid w:val="00F233AE"/>
    <w:rsid w:val="00F239E1"/>
    <w:rsid w:val="00F30E26"/>
    <w:rsid w:val="00F32209"/>
    <w:rsid w:val="00F34E2B"/>
    <w:rsid w:val="00F351E3"/>
    <w:rsid w:val="00F4097D"/>
    <w:rsid w:val="00F423AC"/>
    <w:rsid w:val="00F4481D"/>
    <w:rsid w:val="00F50536"/>
    <w:rsid w:val="00F640BA"/>
    <w:rsid w:val="00F70359"/>
    <w:rsid w:val="00F710FB"/>
    <w:rsid w:val="00F777A8"/>
    <w:rsid w:val="00F82456"/>
    <w:rsid w:val="00F95C39"/>
    <w:rsid w:val="00FB48E9"/>
    <w:rsid w:val="00FC506F"/>
    <w:rsid w:val="00FD6E03"/>
    <w:rsid w:val="00FE1C7D"/>
    <w:rsid w:val="00FE3521"/>
    <w:rsid w:val="00FE3CA0"/>
    <w:rsid w:val="00FF0AB3"/>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2D5C"/>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salesforceId:a626a9e8-2fdf-4a74-995e-8918a774a723</dc:subject>
  <dc:creator>Millinship, David</dc:creator>
  <dc:description/>
  <cp:lastModifiedBy>Rutter-Dowd, Lucy</cp:lastModifiedBy>
  <cp:revision>4</cp:revision>
  <dcterms:created xsi:type="dcterms:W3CDTF">2026-03-04T20:53:00Z</dcterms:created>
  <dcterms:modified xsi:type="dcterms:W3CDTF">2026-03-04T20:58:00Z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069Q300000MOfVIIA1</vt:lpwstr>
  </property>
</Properties>
</file>