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EE6B5"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305599BA"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5EF74498"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42C1C117" w14:textId="77777777" w:rsidTr="004C3265">
        <w:tc>
          <w:tcPr>
            <w:tcW w:w="3539" w:type="dxa"/>
          </w:tcPr>
          <w:p w14:paraId="4F0F54C2"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1A3372A4"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PL/2025/09819</w:t>
            </w:r>
          </w:p>
        </w:tc>
      </w:tr>
      <w:tr w:rsidR="00477CC4" w14:paraId="4E9DAC44" w14:textId="77777777" w:rsidTr="004C3265">
        <w:tc>
          <w:tcPr>
            <w:tcW w:w="3539" w:type="dxa"/>
          </w:tcPr>
          <w:p w14:paraId="1E195C16"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4DEE6B78"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Full planning permission</w:t>
            </w:r>
          </w:p>
        </w:tc>
      </w:tr>
      <w:tr w:rsidR="00477CC4" w14:paraId="183753AB" w14:textId="77777777" w:rsidTr="004C3265">
        <w:tc>
          <w:tcPr>
            <w:tcW w:w="3539" w:type="dxa"/>
          </w:tcPr>
          <w:p w14:paraId="11E6861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53B314F1"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7 Weavers Mead, Great Cheverell, Devizes, SN10 5TP</w:t>
            </w:r>
          </w:p>
        </w:tc>
      </w:tr>
      <w:tr w:rsidR="00477CC4" w14:paraId="45A90640" w14:textId="77777777" w:rsidTr="004C3265">
        <w:tc>
          <w:tcPr>
            <w:tcW w:w="3539" w:type="dxa"/>
          </w:tcPr>
          <w:p w14:paraId="1D91931A"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74C506F6"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Change of Use from agricultural land to residential garden</w:t>
            </w:r>
          </w:p>
        </w:tc>
      </w:tr>
      <w:tr w:rsidR="00477CC4" w14:paraId="3AB0470F" w14:textId="77777777" w:rsidTr="004C3265">
        <w:tc>
          <w:tcPr>
            <w:tcW w:w="3539" w:type="dxa"/>
          </w:tcPr>
          <w:p w14:paraId="00619AE6"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3B800E45" w14:textId="77777777" w:rsidR="00477CC4" w:rsidRPr="004C3265" w:rsidRDefault="004C3265" w:rsidP="00477CC4">
            <w:pPr>
              <w:spacing w:line="276" w:lineRule="auto"/>
              <w:rPr>
                <w:rFonts w:ascii="Arial" w:hAnsi="Arial" w:cs="Arial"/>
                <w:sz w:val="22"/>
                <w:szCs w:val="22"/>
              </w:rPr>
            </w:pPr>
            <w:r w:rsidRPr="004C3265">
              <w:rPr>
                <w:rFonts w:ascii="Arial" w:hAnsi="Arial" w:cs="Arial"/>
                <w:sz w:val="22"/>
                <w:szCs w:val="22"/>
              </w:rPr>
              <w:t>Approve with Conditions</w:t>
            </w:r>
          </w:p>
        </w:tc>
      </w:tr>
    </w:tbl>
    <w:p w14:paraId="17A2D215" w14:textId="77777777" w:rsidR="00F7609E" w:rsidRPr="00F7609E" w:rsidRDefault="00F7609E" w:rsidP="00F7609E">
      <w:pPr>
        <w:spacing w:line="276" w:lineRule="auto"/>
        <w:jc w:val="both"/>
        <w:rPr>
          <w:rFonts w:ascii="Arial" w:hAnsi="Arial" w:cs="Arial"/>
          <w:sz w:val="22"/>
          <w:szCs w:val="22"/>
        </w:rPr>
      </w:pPr>
    </w:p>
    <w:p w14:paraId="5C623BFB"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3FA3E98B" w14:textId="77777777" w:rsidR="00683C17" w:rsidRDefault="00683C17" w:rsidP="00683C17">
      <w:pPr>
        <w:spacing w:line="276" w:lineRule="auto"/>
        <w:jc w:val="both"/>
        <w:rPr>
          <w:rFonts w:ascii="Arial" w:hAnsi="Arial" w:cs="Arial"/>
          <w:color w:val="FF0000"/>
          <w:sz w:val="22"/>
          <w:szCs w:val="22"/>
        </w:rPr>
      </w:pPr>
    </w:p>
    <w:p w14:paraId="45DA2D32" w14:textId="6E03B932" w:rsidR="00BE1F04" w:rsidRPr="00BE1F04" w:rsidRDefault="00BC7C04" w:rsidP="294BE246">
      <w:pPr>
        <w:spacing w:line="276" w:lineRule="auto"/>
        <w:jc w:val="both"/>
        <w:rPr>
          <w:rFonts w:ascii="Arial" w:hAnsi="Arial" w:cs="Arial"/>
          <w:sz w:val="22"/>
          <w:szCs w:val="22"/>
        </w:rPr>
      </w:pPr>
      <w:r w:rsidRPr="00BC7C04">
        <w:rPr>
          <w:rFonts w:ascii="Arial" w:hAnsi="Arial" w:cs="Arial"/>
          <w:sz w:val="22"/>
          <w:szCs w:val="22"/>
        </w:rPr>
        <w:t>The application site comprises a semi</w:t>
      </w:r>
      <w:r w:rsidRPr="00BC7C04">
        <w:rPr>
          <w:rFonts w:ascii="Cambria Math" w:hAnsi="Cambria Math" w:cs="Cambria Math"/>
          <w:sz w:val="22"/>
          <w:szCs w:val="22"/>
        </w:rPr>
        <w:t>‑</w:t>
      </w:r>
      <w:r w:rsidRPr="00BC7C04">
        <w:rPr>
          <w:rFonts w:ascii="Arial" w:hAnsi="Arial" w:cs="Arial"/>
          <w:sz w:val="22"/>
          <w:szCs w:val="22"/>
        </w:rPr>
        <w:t>detached, two</w:t>
      </w:r>
      <w:r w:rsidRPr="00BC7C04">
        <w:rPr>
          <w:rFonts w:ascii="Cambria Math" w:hAnsi="Cambria Math" w:cs="Cambria Math"/>
          <w:sz w:val="22"/>
          <w:szCs w:val="22"/>
        </w:rPr>
        <w:t>‑</w:t>
      </w:r>
      <w:r w:rsidRPr="00BC7C04">
        <w:rPr>
          <w:rFonts w:ascii="Arial" w:hAnsi="Arial" w:cs="Arial"/>
          <w:sz w:val="22"/>
          <w:szCs w:val="22"/>
        </w:rPr>
        <w:t>storey dwelling located at the south</w:t>
      </w:r>
      <w:r w:rsidRPr="00BC7C04">
        <w:rPr>
          <w:rFonts w:ascii="Cambria Math" w:hAnsi="Cambria Math" w:cs="Cambria Math"/>
          <w:sz w:val="22"/>
          <w:szCs w:val="22"/>
        </w:rPr>
        <w:t>‑</w:t>
      </w:r>
      <w:r w:rsidRPr="00BC7C04">
        <w:rPr>
          <w:rFonts w:ascii="Arial" w:hAnsi="Arial" w:cs="Arial"/>
          <w:sz w:val="22"/>
          <w:szCs w:val="22"/>
        </w:rPr>
        <w:t>western end of a cul</w:t>
      </w:r>
      <w:r w:rsidRPr="00BC7C04">
        <w:rPr>
          <w:rFonts w:ascii="Cambria Math" w:hAnsi="Cambria Math" w:cs="Cambria Math"/>
          <w:sz w:val="22"/>
          <w:szCs w:val="22"/>
        </w:rPr>
        <w:t>‑</w:t>
      </w:r>
      <w:r w:rsidRPr="00BC7C04">
        <w:rPr>
          <w:rFonts w:ascii="Arial" w:hAnsi="Arial" w:cs="Arial"/>
          <w:sz w:val="22"/>
          <w:szCs w:val="22"/>
        </w:rPr>
        <w:t>de</w:t>
      </w:r>
      <w:r w:rsidRPr="00BC7C04">
        <w:rPr>
          <w:rFonts w:ascii="Cambria Math" w:hAnsi="Cambria Math" w:cs="Cambria Math"/>
          <w:sz w:val="22"/>
          <w:szCs w:val="22"/>
        </w:rPr>
        <w:t>‑</w:t>
      </w:r>
      <w:r w:rsidRPr="00BC7C04">
        <w:rPr>
          <w:rFonts w:ascii="Arial" w:hAnsi="Arial" w:cs="Arial"/>
          <w:sz w:val="22"/>
          <w:szCs w:val="22"/>
        </w:rPr>
        <w:t>sac within Great Cheverell. The property is bordered by residential development to the north and west, with open countryside lying to the east and south. A Public Right of Way (</w:t>
      </w:r>
      <w:proofErr w:type="spellStart"/>
      <w:r w:rsidRPr="00BC7C04">
        <w:rPr>
          <w:rFonts w:ascii="Arial" w:hAnsi="Arial" w:cs="Arial"/>
          <w:sz w:val="22"/>
          <w:szCs w:val="22"/>
        </w:rPr>
        <w:t>PRoW</w:t>
      </w:r>
      <w:proofErr w:type="spellEnd"/>
      <w:r w:rsidRPr="00BC7C04">
        <w:rPr>
          <w:rFonts w:ascii="Arial" w:hAnsi="Arial" w:cs="Arial"/>
          <w:sz w:val="22"/>
          <w:szCs w:val="22"/>
        </w:rPr>
        <w:t xml:space="preserve"> CHEM7) runs east–west along the southern boundary. The dwelling benefits from off</w:t>
      </w:r>
      <w:r w:rsidRPr="00BC7C04">
        <w:rPr>
          <w:rFonts w:ascii="Cambria Math" w:hAnsi="Cambria Math" w:cs="Cambria Math"/>
          <w:sz w:val="22"/>
          <w:szCs w:val="22"/>
        </w:rPr>
        <w:t>‑</w:t>
      </w:r>
      <w:r w:rsidRPr="00BC7C04">
        <w:rPr>
          <w:rFonts w:ascii="Arial" w:hAnsi="Arial" w:cs="Arial"/>
          <w:sz w:val="22"/>
          <w:szCs w:val="22"/>
        </w:rPr>
        <w:t>street parking and front, side, and rear garden areas, and the applicants have recently acquired an additional parcel of land adjoining the southern boundary. The site falls within the 6</w:t>
      </w:r>
      <w:r w:rsidR="001256F7">
        <w:rPr>
          <w:rFonts w:ascii="Arial" w:hAnsi="Arial" w:cs="Arial"/>
          <w:sz w:val="22"/>
          <w:szCs w:val="22"/>
        </w:rPr>
        <w:t>.</w:t>
      </w:r>
      <w:r w:rsidRPr="00BC7C04">
        <w:rPr>
          <w:rFonts w:ascii="Arial" w:hAnsi="Arial" w:cs="Arial"/>
          <w:sz w:val="22"/>
          <w:szCs w:val="22"/>
        </w:rPr>
        <w:t>4km buffer zone of the Salisbury Plain SPA and is situated on Grade 4 agricultural land.</w:t>
      </w:r>
    </w:p>
    <w:p w14:paraId="75FB9A0A" w14:textId="77777777" w:rsidR="00BE1F04" w:rsidRDefault="00BE1F04" w:rsidP="294BE246">
      <w:pPr>
        <w:spacing w:line="276" w:lineRule="auto"/>
        <w:jc w:val="both"/>
        <w:rPr>
          <w:rFonts w:ascii="Arial" w:hAnsi="Arial" w:cs="Arial"/>
          <w:i/>
          <w:iCs/>
          <w:color w:val="FF0000"/>
          <w:sz w:val="22"/>
          <w:szCs w:val="22"/>
        </w:rPr>
      </w:pPr>
    </w:p>
    <w:p w14:paraId="49BE0672" w14:textId="77777777" w:rsidR="00683C17" w:rsidRDefault="00683C17" w:rsidP="00683C17">
      <w:pPr>
        <w:spacing w:line="276" w:lineRule="auto"/>
        <w:jc w:val="both"/>
        <w:outlineLvl w:val="2"/>
        <w:rPr>
          <w:rFonts w:ascii="Arial" w:hAnsi="Arial" w:cs="Arial"/>
          <w:b/>
          <w:bCs/>
          <w:sz w:val="22"/>
          <w:szCs w:val="22"/>
        </w:rPr>
      </w:pPr>
    </w:p>
    <w:p w14:paraId="1A0A2340"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11F70DF1" w14:textId="77777777" w:rsidR="00683C17" w:rsidRDefault="00683C17" w:rsidP="00683C17">
      <w:pPr>
        <w:spacing w:line="276" w:lineRule="auto"/>
        <w:jc w:val="both"/>
        <w:rPr>
          <w:rFonts w:ascii="Arial" w:hAnsi="Arial" w:cs="Arial"/>
          <w:color w:val="FF0000"/>
          <w:sz w:val="22"/>
          <w:szCs w:val="22"/>
        </w:rPr>
      </w:pPr>
    </w:p>
    <w:p w14:paraId="6FA6A617" w14:textId="69F6437F" w:rsidR="00683C17" w:rsidRDefault="00BC7C04" w:rsidP="00683C17">
      <w:pPr>
        <w:spacing w:line="276" w:lineRule="auto"/>
        <w:jc w:val="both"/>
        <w:outlineLvl w:val="2"/>
        <w:rPr>
          <w:rFonts w:ascii="Arial" w:hAnsi="Arial" w:cs="Arial"/>
          <w:sz w:val="22"/>
          <w:szCs w:val="22"/>
        </w:rPr>
      </w:pPr>
      <w:r w:rsidRPr="00BC7C04">
        <w:rPr>
          <w:rFonts w:ascii="Arial" w:hAnsi="Arial" w:cs="Arial"/>
          <w:sz w:val="22"/>
          <w:szCs w:val="22"/>
        </w:rPr>
        <w:t xml:space="preserve">The application seeks full planning permission for the change of use of </w:t>
      </w:r>
      <w:r>
        <w:rPr>
          <w:rFonts w:ascii="Arial" w:hAnsi="Arial" w:cs="Arial"/>
          <w:sz w:val="22"/>
          <w:szCs w:val="22"/>
        </w:rPr>
        <w:t>the</w:t>
      </w:r>
      <w:r w:rsidRPr="00BC7C04">
        <w:rPr>
          <w:rFonts w:ascii="Arial" w:hAnsi="Arial" w:cs="Arial"/>
          <w:sz w:val="22"/>
          <w:szCs w:val="22"/>
        </w:rPr>
        <w:t xml:space="preserve"> recently acquired parcel of land from agricultural use to residential garden land associated with the host dwelling. The land is already enclosed along its southern and eastern boundaries by mature mixed hedging and established trees. The submitted block plan indicates that the existing 1.8</w:t>
      </w:r>
      <w:r w:rsidRPr="00BC7C04">
        <w:rPr>
          <w:rFonts w:ascii="Cambria Math" w:hAnsi="Cambria Math" w:cs="Cambria Math"/>
          <w:sz w:val="22"/>
          <w:szCs w:val="22"/>
        </w:rPr>
        <w:t>‑</w:t>
      </w:r>
      <w:r w:rsidRPr="00BC7C04">
        <w:rPr>
          <w:rFonts w:ascii="Arial" w:hAnsi="Arial" w:cs="Arial"/>
          <w:sz w:val="22"/>
          <w:szCs w:val="22"/>
        </w:rPr>
        <w:t>metre close</w:t>
      </w:r>
      <w:r w:rsidRPr="00BC7C04">
        <w:rPr>
          <w:rFonts w:ascii="Cambria Math" w:hAnsi="Cambria Math" w:cs="Cambria Math"/>
          <w:sz w:val="22"/>
          <w:szCs w:val="22"/>
        </w:rPr>
        <w:t>‑</w:t>
      </w:r>
      <w:r w:rsidRPr="00BC7C04">
        <w:rPr>
          <w:rFonts w:ascii="Arial" w:hAnsi="Arial" w:cs="Arial"/>
          <w:sz w:val="22"/>
          <w:szCs w:val="22"/>
        </w:rPr>
        <w:t>boarded fence along the western boundary will be extended to form a continuous boundary treatment, while a 1</w:t>
      </w:r>
      <w:r w:rsidRPr="00BC7C04">
        <w:rPr>
          <w:rFonts w:ascii="Cambria Math" w:hAnsi="Cambria Math" w:cs="Cambria Math"/>
          <w:sz w:val="22"/>
          <w:szCs w:val="22"/>
        </w:rPr>
        <w:t>‑</w:t>
      </w:r>
      <w:r w:rsidRPr="00BC7C04">
        <w:rPr>
          <w:rFonts w:ascii="Arial" w:hAnsi="Arial" w:cs="Arial"/>
          <w:sz w:val="22"/>
          <w:szCs w:val="22"/>
        </w:rPr>
        <w:t>metre post</w:t>
      </w:r>
      <w:r w:rsidRPr="00BC7C04">
        <w:rPr>
          <w:rFonts w:ascii="Cambria Math" w:hAnsi="Cambria Math" w:cs="Cambria Math"/>
          <w:sz w:val="22"/>
          <w:szCs w:val="22"/>
        </w:rPr>
        <w:t>‑</w:t>
      </w:r>
      <w:r w:rsidRPr="00BC7C04">
        <w:rPr>
          <w:rFonts w:ascii="Arial" w:hAnsi="Arial" w:cs="Arial"/>
          <w:sz w:val="22"/>
          <w:szCs w:val="22"/>
        </w:rPr>
        <w:t>and</w:t>
      </w:r>
      <w:r w:rsidRPr="00BC7C04">
        <w:rPr>
          <w:rFonts w:ascii="Cambria Math" w:hAnsi="Cambria Math" w:cs="Cambria Math"/>
          <w:sz w:val="22"/>
          <w:szCs w:val="22"/>
        </w:rPr>
        <w:t>‑</w:t>
      </w:r>
      <w:r w:rsidRPr="00BC7C04">
        <w:rPr>
          <w:rFonts w:ascii="Arial" w:hAnsi="Arial" w:cs="Arial"/>
          <w:sz w:val="22"/>
          <w:szCs w:val="22"/>
        </w:rPr>
        <w:t>wire stock fence is proposed along the southern and eastern boundaries, positioned in front of the existing hedge line. The intention of the proposal is to incorporate this additional land into the residential curtilage of the property to serve as an extended garden area.</w:t>
      </w:r>
    </w:p>
    <w:p w14:paraId="32548598" w14:textId="77777777" w:rsidR="00BC7C04" w:rsidRDefault="00BC7C04" w:rsidP="00683C17">
      <w:pPr>
        <w:spacing w:line="276" w:lineRule="auto"/>
        <w:jc w:val="both"/>
        <w:outlineLvl w:val="2"/>
        <w:rPr>
          <w:rFonts w:ascii="Arial" w:hAnsi="Arial" w:cs="Arial"/>
          <w:b/>
          <w:bCs/>
          <w:sz w:val="22"/>
          <w:szCs w:val="22"/>
        </w:rPr>
      </w:pPr>
    </w:p>
    <w:p w14:paraId="673EA548"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6957AEC5"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C3265" w:rsidRPr="003E74F7" w14:paraId="0878167B" w14:textId="77777777" w:rsidTr="00AB055D">
        <w:trPr>
          <w:trHeight w:hRule="exact" w:val="20"/>
        </w:trPr>
        <w:tc>
          <w:tcPr>
            <w:tcW w:w="8921" w:type="dxa"/>
            <w:tcBorders>
              <w:bottom w:val="single" w:sz="6" w:space="0" w:color="auto"/>
            </w:tcBorders>
            <w:vAlign w:val="center"/>
            <w:hideMark/>
          </w:tcPr>
          <w:p w14:paraId="63D89FD2" w14:textId="77777777" w:rsidR="004C3265" w:rsidRPr="00D6500C" w:rsidRDefault="004C3265" w:rsidP="00AB055D">
            <w:pPr>
              <w:rPr>
                <w:rFonts w:ascii="Arial" w:hAnsi="Arial" w:cs="Arial"/>
                <w:sz w:val="22"/>
                <w:szCs w:val="22"/>
              </w:rPr>
            </w:pPr>
            <w:bookmarkStart w:id="0" w:name="_bc9eaa23_7b84_4e11_8860_67eb8bbe0c9e"/>
          </w:p>
        </w:tc>
      </w:tr>
      <w:tr w:rsidR="004C3265" w:rsidRPr="003E74F7" w14:paraId="4D48F2D1" w14:textId="77777777" w:rsidTr="00AB055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2032256" w14:textId="77777777" w:rsidR="004C3265" w:rsidRPr="00D6500C" w:rsidRDefault="004C3265" w:rsidP="00AB055D">
            <w:pPr>
              <w:rPr>
                <w:rFonts w:ascii="Arial" w:hAnsi="Arial" w:cs="Arial"/>
                <w:b/>
                <w:bCs/>
                <w:sz w:val="22"/>
                <w:szCs w:val="22"/>
              </w:rPr>
            </w:pPr>
            <w:r w:rsidRPr="00D6500C">
              <w:rPr>
                <w:rFonts w:ascii="Arial" w:hAnsi="Arial" w:cs="Arial"/>
                <w:b/>
                <w:bCs/>
                <w:sz w:val="22"/>
                <w:szCs w:val="22"/>
              </w:rPr>
              <w:t>Proposal / Summary</w:t>
            </w:r>
          </w:p>
        </w:tc>
      </w:tr>
      <w:tr w:rsidR="004C3265" w:rsidRPr="003E74F7" w14:paraId="59673162" w14:textId="77777777" w:rsidTr="00AB055D">
        <w:tc>
          <w:tcPr>
            <w:tcW w:w="8921" w:type="dxa"/>
            <w:tcBorders>
              <w:left w:val="single" w:sz="12" w:space="0" w:color="auto"/>
              <w:bottom w:val="single" w:sz="12" w:space="0" w:color="auto"/>
              <w:right w:val="single" w:sz="12" w:space="0" w:color="auto"/>
            </w:tcBorders>
            <w:vAlign w:val="center"/>
          </w:tcPr>
          <w:p w14:paraId="534000B0" w14:textId="77777777" w:rsidR="004C3265" w:rsidRPr="00D6500C" w:rsidRDefault="004C3265" w:rsidP="00AB055D">
            <w:pPr>
              <w:rPr>
                <w:rFonts w:ascii="Arial" w:hAnsi="Arial" w:cs="Arial"/>
                <w:sz w:val="22"/>
                <w:szCs w:val="22"/>
              </w:rPr>
            </w:pPr>
            <w:r w:rsidRPr="00D6500C">
              <w:rPr>
                <w:rFonts w:ascii="Arial" w:hAnsi="Arial" w:cs="Arial"/>
                <w:sz w:val="22"/>
                <w:szCs w:val="22"/>
              </w:rPr>
              <w:t>13/05866/OUT - Outline Planning Decision - Refused Date: 11/2/2014 – Residential development (up to 25 dwellings), access, parking, open space and associated infrastructure</w:t>
            </w:r>
          </w:p>
        </w:tc>
      </w:tr>
      <w:bookmarkEnd w:id="0"/>
    </w:tbl>
    <w:p w14:paraId="3B95A899" w14:textId="77777777" w:rsidR="006F5FC1" w:rsidRPr="00F7609E" w:rsidRDefault="006F5FC1" w:rsidP="00683C17">
      <w:pPr>
        <w:spacing w:line="276" w:lineRule="auto"/>
        <w:jc w:val="both"/>
        <w:outlineLvl w:val="2"/>
        <w:rPr>
          <w:rFonts w:ascii="Arial" w:hAnsi="Arial" w:cs="Arial"/>
          <w:b/>
          <w:bCs/>
          <w:sz w:val="22"/>
          <w:szCs w:val="22"/>
        </w:rPr>
      </w:pPr>
    </w:p>
    <w:p w14:paraId="19364A04" w14:textId="77777777" w:rsidR="00683C17" w:rsidRDefault="00683C17" w:rsidP="00683C17">
      <w:pPr>
        <w:spacing w:line="276" w:lineRule="auto"/>
        <w:jc w:val="both"/>
        <w:rPr>
          <w:rFonts w:ascii="Arial" w:hAnsi="Arial" w:cs="Arial"/>
          <w:color w:val="FF0000"/>
          <w:sz w:val="22"/>
          <w:szCs w:val="22"/>
        </w:rPr>
      </w:pPr>
    </w:p>
    <w:p w14:paraId="52C24B53" w14:textId="6237AE5D"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02D0A11F" w14:textId="77777777" w:rsidR="00E35059" w:rsidRDefault="00E35059" w:rsidP="00237634">
      <w:pPr>
        <w:spacing w:line="276" w:lineRule="auto"/>
        <w:jc w:val="both"/>
        <w:rPr>
          <w:rFonts w:ascii="Arial" w:hAnsi="Arial" w:cs="Arial"/>
          <w:b/>
          <w:bCs/>
          <w:sz w:val="22"/>
          <w:szCs w:val="22"/>
        </w:rPr>
      </w:pPr>
    </w:p>
    <w:p w14:paraId="18C1E04E"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6468D2A8" w14:textId="77777777" w:rsidR="00BC7C04" w:rsidRDefault="00BC7C04" w:rsidP="00237634">
      <w:pPr>
        <w:spacing w:line="276" w:lineRule="auto"/>
        <w:jc w:val="both"/>
        <w:rPr>
          <w:rFonts w:ascii="Arial" w:hAnsi="Arial" w:cs="Arial"/>
          <w:sz w:val="22"/>
          <w:szCs w:val="22"/>
          <w:u w:val="single"/>
        </w:rPr>
      </w:pPr>
    </w:p>
    <w:p w14:paraId="0752A8FE" w14:textId="11E21B27" w:rsidR="00BC7C04" w:rsidRPr="00BC7C04" w:rsidRDefault="00BC7C04" w:rsidP="00237634">
      <w:pPr>
        <w:spacing w:line="276" w:lineRule="auto"/>
        <w:jc w:val="both"/>
      </w:pPr>
      <w:r w:rsidRPr="00BC7C04">
        <w:rPr>
          <w:rFonts w:ascii="Arial" w:hAnsi="Arial" w:cs="Arial"/>
          <w:sz w:val="22"/>
          <w:szCs w:val="22"/>
        </w:rPr>
        <w:t xml:space="preserve">Town and Country Planning Act 1990 </w:t>
      </w:r>
    </w:p>
    <w:p w14:paraId="60C6D319" w14:textId="77777777" w:rsidR="00237634" w:rsidRDefault="00237634" w:rsidP="00237634">
      <w:pPr>
        <w:spacing w:line="276" w:lineRule="auto"/>
        <w:jc w:val="both"/>
        <w:rPr>
          <w:rFonts w:ascii="Arial" w:hAnsi="Arial" w:cs="Arial"/>
          <w:b/>
          <w:bCs/>
          <w:sz w:val="22"/>
          <w:szCs w:val="22"/>
        </w:rPr>
      </w:pPr>
    </w:p>
    <w:p w14:paraId="469D50DB"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1C33B52E" w14:textId="77777777" w:rsidR="00237634" w:rsidRPr="008C5404" w:rsidRDefault="00237634" w:rsidP="007F0006">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06BA7477"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3A12A909"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78EB93C2"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00908359"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430BA933" w14:textId="77777777" w:rsidR="00533E0C" w:rsidRPr="004B1608" w:rsidRDefault="00533E0C" w:rsidP="00533E0C">
      <w:pPr>
        <w:spacing w:line="276" w:lineRule="auto"/>
        <w:jc w:val="both"/>
        <w:rPr>
          <w:rFonts w:ascii="Arial" w:hAnsi="Arial" w:cs="Arial"/>
          <w:sz w:val="22"/>
          <w:szCs w:val="22"/>
        </w:rPr>
      </w:pPr>
    </w:p>
    <w:p w14:paraId="3166E864"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3EE019E" w14:textId="77777777" w:rsidR="00533E0C" w:rsidRDefault="00533E0C" w:rsidP="00533E0C">
      <w:pPr>
        <w:spacing w:line="276" w:lineRule="auto"/>
        <w:jc w:val="both"/>
        <w:rPr>
          <w:rFonts w:ascii="Arial" w:hAnsi="Arial" w:cs="Arial"/>
          <w:b/>
          <w:bCs/>
          <w:sz w:val="22"/>
          <w:szCs w:val="22"/>
        </w:rPr>
      </w:pPr>
    </w:p>
    <w:p w14:paraId="6CC0FA90"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4259634B" w14:textId="77777777" w:rsidR="00533E0C" w:rsidRPr="00D902FA" w:rsidRDefault="00533E0C" w:rsidP="00533E0C">
      <w:pPr>
        <w:spacing w:line="276" w:lineRule="auto"/>
        <w:jc w:val="both"/>
        <w:rPr>
          <w:rFonts w:ascii="Arial" w:hAnsi="Arial" w:cs="Arial"/>
          <w:sz w:val="22"/>
          <w:szCs w:val="22"/>
        </w:rPr>
      </w:pPr>
    </w:p>
    <w:p w14:paraId="7A430D2F" w14:textId="77777777" w:rsidR="00533E0C" w:rsidRPr="00D902FA" w:rsidRDefault="00533E0C"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1 Settlement </w:t>
      </w:r>
      <w:proofErr w:type="gramStart"/>
      <w:r w:rsidRPr="00D902FA">
        <w:rPr>
          <w:rFonts w:ascii="Arial" w:hAnsi="Arial" w:cs="Arial"/>
          <w:sz w:val="22"/>
          <w:szCs w:val="22"/>
        </w:rPr>
        <w:t>Strategy;</w:t>
      </w:r>
      <w:proofErr w:type="gramEnd"/>
    </w:p>
    <w:p w14:paraId="795DB536"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2 Delivery </w:t>
      </w:r>
      <w:proofErr w:type="gramStart"/>
      <w:r w:rsidRPr="00D902FA">
        <w:rPr>
          <w:rFonts w:ascii="Arial" w:hAnsi="Arial" w:cs="Arial"/>
          <w:sz w:val="22"/>
          <w:szCs w:val="22"/>
        </w:rPr>
        <w:t>Strategy;</w:t>
      </w:r>
      <w:proofErr w:type="gramEnd"/>
    </w:p>
    <w:p w14:paraId="0953CD7A"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50 Biodiversity and </w:t>
      </w:r>
      <w:proofErr w:type="gramStart"/>
      <w:r w:rsidRPr="00D902FA">
        <w:rPr>
          <w:rFonts w:ascii="Arial" w:hAnsi="Arial" w:cs="Arial"/>
          <w:sz w:val="22"/>
          <w:szCs w:val="22"/>
        </w:rPr>
        <w:t>Geodiversity;</w:t>
      </w:r>
      <w:proofErr w:type="gramEnd"/>
    </w:p>
    <w:p w14:paraId="6EFE6C54" w14:textId="77777777" w:rsidR="0029208D" w:rsidRDefault="0029208D" w:rsidP="007F0006">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3FD71670" w14:textId="77777777" w:rsidR="0029208D"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High Quality Design and Place </w:t>
      </w:r>
      <w:proofErr w:type="gramStart"/>
      <w:r w:rsidRPr="00D902FA">
        <w:rPr>
          <w:rFonts w:ascii="Arial" w:hAnsi="Arial" w:cs="Arial"/>
          <w:sz w:val="22"/>
          <w:szCs w:val="22"/>
        </w:rPr>
        <w:t>Shaping;</w:t>
      </w:r>
      <w:proofErr w:type="gramEnd"/>
    </w:p>
    <w:p w14:paraId="7CD3A457" w14:textId="78489B52" w:rsidR="001F3784" w:rsidRPr="00D902FA" w:rsidRDefault="001F3784" w:rsidP="007F0006">
      <w:pPr>
        <w:pStyle w:val="ListParagraph"/>
        <w:numPr>
          <w:ilvl w:val="0"/>
          <w:numId w:val="2"/>
        </w:numPr>
        <w:spacing w:line="276" w:lineRule="auto"/>
        <w:jc w:val="both"/>
        <w:rPr>
          <w:rFonts w:ascii="Arial" w:hAnsi="Arial" w:cs="Arial"/>
          <w:sz w:val="22"/>
          <w:szCs w:val="22"/>
        </w:rPr>
      </w:pPr>
      <w:r w:rsidRPr="001F3784">
        <w:rPr>
          <w:rFonts w:ascii="Arial" w:hAnsi="Arial" w:cs="Arial"/>
          <w:sz w:val="22"/>
          <w:szCs w:val="22"/>
        </w:rPr>
        <w:t>Core Policy 67 Flood Risk</w:t>
      </w:r>
      <w:r>
        <w:rPr>
          <w:rFonts w:ascii="Arial" w:hAnsi="Arial" w:cs="Arial"/>
          <w:sz w:val="22"/>
          <w:szCs w:val="22"/>
        </w:rPr>
        <w:t>.</w:t>
      </w:r>
    </w:p>
    <w:p w14:paraId="4634C23E" w14:textId="77777777" w:rsidR="00533E0C" w:rsidRDefault="00533E0C" w:rsidP="00533E0C">
      <w:pPr>
        <w:spacing w:line="276" w:lineRule="auto"/>
        <w:jc w:val="both"/>
        <w:rPr>
          <w:rFonts w:ascii="Arial" w:hAnsi="Arial" w:cs="Arial"/>
          <w:color w:val="FF0000"/>
          <w:sz w:val="22"/>
          <w:szCs w:val="22"/>
        </w:rPr>
      </w:pPr>
    </w:p>
    <w:p w14:paraId="710CA4BB" w14:textId="77777777"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r w:rsidRPr="00CF2835">
        <w:rPr>
          <w:rFonts w:ascii="Arial" w:hAnsi="Arial" w:cs="Arial"/>
          <w:color w:val="000000" w:themeColor="text1"/>
          <w:sz w:val="22"/>
          <w:szCs w:val="22"/>
        </w:rPr>
        <w:t>[delete/insert above as appropriate]</w:t>
      </w:r>
      <w:r w:rsidRPr="00CF2835">
        <w:rPr>
          <w:rFonts w:ascii="Arial" w:hAnsi="Arial" w:cs="Arial"/>
          <w:b/>
          <w:bCs/>
          <w:color w:val="000000" w:themeColor="text1"/>
          <w:sz w:val="22"/>
          <w:szCs w:val="22"/>
        </w:rPr>
        <w:t xml:space="preserve"> </w:t>
      </w:r>
    </w:p>
    <w:p w14:paraId="0D187C78" w14:textId="77777777" w:rsidR="00157709" w:rsidRPr="00CF2835" w:rsidRDefault="00157709" w:rsidP="00CF2835">
      <w:pPr>
        <w:spacing w:line="276" w:lineRule="auto"/>
        <w:jc w:val="both"/>
        <w:rPr>
          <w:rFonts w:ascii="Arial" w:hAnsi="Arial" w:cs="Arial"/>
          <w:b/>
          <w:bCs/>
          <w:color w:val="000000" w:themeColor="text1"/>
          <w:sz w:val="22"/>
          <w:szCs w:val="22"/>
        </w:rPr>
      </w:pPr>
    </w:p>
    <w:p w14:paraId="7F6BB5AC"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1: Settlement Strategy</w:t>
      </w:r>
    </w:p>
    <w:p w14:paraId="62257C85"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2: Delivery Strategy</w:t>
      </w:r>
    </w:p>
    <w:p w14:paraId="365F3428"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64 – 75: Economic, tourism, retail and transport</w:t>
      </w:r>
    </w:p>
    <w:p w14:paraId="7D60BE3D"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76 – 84: Social, housing, community, public open space and wellbeing</w:t>
      </w:r>
    </w:p>
    <w:p w14:paraId="036F36F4"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 xml:space="preserve">Policies 85 – 101: Sustainability, ecology, water and landscape, heritage, air quality </w:t>
      </w:r>
    </w:p>
    <w:p w14:paraId="205538C1" w14:textId="77777777" w:rsidR="00533E0C" w:rsidRDefault="00533E0C" w:rsidP="00533E0C">
      <w:pPr>
        <w:spacing w:line="276" w:lineRule="auto"/>
        <w:jc w:val="both"/>
        <w:rPr>
          <w:rFonts w:ascii="Arial" w:hAnsi="Arial" w:cs="Arial"/>
          <w:b/>
          <w:bCs/>
          <w:sz w:val="22"/>
          <w:szCs w:val="22"/>
        </w:rPr>
      </w:pPr>
    </w:p>
    <w:p w14:paraId="006F1830" w14:textId="0D30BBDD" w:rsidR="00533E0C" w:rsidRDefault="00533E0C" w:rsidP="00533E0C">
      <w:pPr>
        <w:spacing w:line="276" w:lineRule="auto"/>
        <w:jc w:val="both"/>
        <w:rPr>
          <w:rFonts w:ascii="Arial" w:hAnsi="Arial" w:cs="Arial"/>
          <w:color w:val="EE0000"/>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254BA64D" w14:textId="77777777" w:rsidR="00BC7C04" w:rsidRPr="001171CC" w:rsidRDefault="00BC7C04" w:rsidP="00533E0C">
      <w:pPr>
        <w:spacing w:line="276" w:lineRule="auto"/>
        <w:jc w:val="both"/>
        <w:rPr>
          <w:rFonts w:ascii="Arial" w:hAnsi="Arial" w:cs="Arial"/>
          <w:sz w:val="22"/>
          <w:szCs w:val="22"/>
          <w:u w:val="single"/>
        </w:rPr>
      </w:pPr>
    </w:p>
    <w:p w14:paraId="40FF9545" w14:textId="77777777" w:rsidR="00533E0C" w:rsidRDefault="00533E0C" w:rsidP="007F0006">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48AF967E" w14:textId="77777777" w:rsidR="00D902FA" w:rsidRDefault="00D902FA" w:rsidP="00D902FA">
      <w:pPr>
        <w:spacing w:line="276" w:lineRule="auto"/>
        <w:jc w:val="both"/>
        <w:rPr>
          <w:rFonts w:ascii="Arial" w:hAnsi="Arial" w:cs="Arial"/>
          <w:color w:val="FF0000"/>
          <w:sz w:val="22"/>
          <w:szCs w:val="22"/>
        </w:rPr>
      </w:pPr>
    </w:p>
    <w:p w14:paraId="132D3E09" w14:textId="7722E938"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49B1A614" w14:textId="77777777" w:rsidR="00D902FA" w:rsidRDefault="00D902FA" w:rsidP="00D902FA">
      <w:pPr>
        <w:spacing w:line="276" w:lineRule="auto"/>
        <w:jc w:val="both"/>
        <w:rPr>
          <w:rFonts w:ascii="Arial" w:hAnsi="Arial" w:cs="Arial"/>
          <w:b/>
          <w:bCs/>
          <w:sz w:val="22"/>
          <w:szCs w:val="22"/>
        </w:rPr>
      </w:pPr>
    </w:p>
    <w:p w14:paraId="3F3D19B1"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260F7FA2" w14:textId="77777777" w:rsidR="00067BEE" w:rsidRPr="00F10E9B" w:rsidRDefault="00067BEE" w:rsidP="00067BEE">
      <w:pPr>
        <w:spacing w:line="276" w:lineRule="auto"/>
        <w:jc w:val="both"/>
        <w:rPr>
          <w:rFonts w:ascii="Arial" w:hAnsi="Arial" w:cs="Arial"/>
          <w:sz w:val="22"/>
          <w:szCs w:val="22"/>
        </w:rPr>
      </w:pPr>
    </w:p>
    <w:p w14:paraId="09D102D6"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326681B1" w14:textId="77777777" w:rsidR="00067BEE"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218A34C0" w14:textId="77777777" w:rsidR="00B0100C" w:rsidRPr="004817FB" w:rsidRDefault="00B0100C" w:rsidP="007F0006">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4D8FCE62"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5EA02F76" w14:textId="77777777" w:rsidR="00067BEE"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6519350D" w14:textId="5278B00D" w:rsidR="001F3784" w:rsidRPr="004817FB" w:rsidRDefault="001F3784" w:rsidP="007F0006">
      <w:pPr>
        <w:numPr>
          <w:ilvl w:val="0"/>
          <w:numId w:val="8"/>
        </w:numPr>
        <w:spacing w:line="276" w:lineRule="auto"/>
        <w:jc w:val="both"/>
        <w:rPr>
          <w:rFonts w:ascii="Arial" w:hAnsi="Arial" w:cs="Arial"/>
          <w:sz w:val="22"/>
          <w:szCs w:val="22"/>
        </w:rPr>
      </w:pPr>
      <w:r w:rsidRPr="001F3784">
        <w:rPr>
          <w:rFonts w:ascii="Arial" w:hAnsi="Arial" w:cs="Arial"/>
          <w:sz w:val="22"/>
          <w:szCs w:val="22"/>
        </w:rPr>
        <w:t>Whether the site can be adequately drained without increasing flood risk elsewhere (CP 67)</w:t>
      </w:r>
    </w:p>
    <w:p w14:paraId="37E65964" w14:textId="77777777" w:rsidR="00067BEE" w:rsidRDefault="00067BEE" w:rsidP="00067BEE">
      <w:pPr>
        <w:spacing w:line="276" w:lineRule="auto"/>
        <w:jc w:val="both"/>
        <w:rPr>
          <w:rFonts w:ascii="Arial" w:hAnsi="Arial" w:cs="Arial"/>
          <w:sz w:val="22"/>
          <w:szCs w:val="22"/>
        </w:rPr>
      </w:pPr>
    </w:p>
    <w:p w14:paraId="1B0018AA" w14:textId="77777777" w:rsidR="00D902FA" w:rsidRDefault="00D902FA" w:rsidP="00D902FA">
      <w:pPr>
        <w:spacing w:line="276" w:lineRule="auto"/>
        <w:jc w:val="both"/>
        <w:rPr>
          <w:rFonts w:ascii="Arial" w:hAnsi="Arial" w:cs="Arial"/>
          <w:b/>
          <w:bCs/>
          <w:color w:val="FF0000"/>
          <w:sz w:val="22"/>
          <w:szCs w:val="22"/>
        </w:rPr>
      </w:pPr>
    </w:p>
    <w:p w14:paraId="6DBEE23C" w14:textId="74D31973"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4EFA05A4" w14:textId="77777777" w:rsidR="00D902FA" w:rsidRDefault="00D902FA" w:rsidP="00D902FA">
      <w:pPr>
        <w:spacing w:line="276" w:lineRule="auto"/>
        <w:jc w:val="both"/>
        <w:rPr>
          <w:rFonts w:ascii="Arial" w:hAnsi="Arial" w:cs="Arial"/>
          <w:b/>
          <w:bCs/>
          <w:color w:val="FF0000"/>
          <w:sz w:val="22"/>
          <w:szCs w:val="22"/>
        </w:rPr>
      </w:pPr>
    </w:p>
    <w:p w14:paraId="4053C5B4" w14:textId="50318695" w:rsidR="00765EEE" w:rsidRPr="00BC7C04" w:rsidRDefault="00765EEE" w:rsidP="00765EEE">
      <w:pPr>
        <w:jc w:val="both"/>
        <w:rPr>
          <w:rFonts w:ascii="Arial" w:hAnsi="Arial" w:cs="Arial"/>
          <w:sz w:val="22"/>
          <w:szCs w:val="22"/>
        </w:rPr>
      </w:pPr>
      <w:bookmarkStart w:id="1" w:name="_Hlk206417654"/>
      <w:r w:rsidRPr="002C320C">
        <w:rPr>
          <w:rFonts w:ascii="Arial" w:hAnsi="Arial" w:cs="Arial"/>
          <w:sz w:val="22"/>
          <w:szCs w:val="22"/>
        </w:rPr>
        <w:t xml:space="preserve">WC Rights of Way: </w:t>
      </w:r>
      <w:r w:rsidR="00BE6683" w:rsidRPr="00BC7C04">
        <w:rPr>
          <w:rFonts w:ascii="Arial" w:hAnsi="Arial" w:cs="Arial"/>
          <w:sz w:val="22"/>
          <w:szCs w:val="22"/>
        </w:rPr>
        <w:t xml:space="preserve">No objection subject to </w:t>
      </w:r>
      <w:r w:rsidR="00BC7C04" w:rsidRPr="00BC7C04">
        <w:rPr>
          <w:rFonts w:ascii="Arial" w:hAnsi="Arial" w:cs="Arial"/>
          <w:sz w:val="22"/>
          <w:szCs w:val="22"/>
        </w:rPr>
        <w:t xml:space="preserve">the nearby right of way </w:t>
      </w:r>
      <w:proofErr w:type="gramStart"/>
      <w:r w:rsidR="00BC7C04" w:rsidRPr="00BC7C04">
        <w:rPr>
          <w:rFonts w:ascii="Arial" w:hAnsi="Arial" w:cs="Arial"/>
          <w:sz w:val="22"/>
          <w:szCs w:val="22"/>
        </w:rPr>
        <w:t>remaining clear at all times</w:t>
      </w:r>
      <w:proofErr w:type="gramEnd"/>
      <w:r w:rsidR="00BC7C04" w:rsidRPr="00BC7C04">
        <w:rPr>
          <w:rFonts w:ascii="Arial" w:hAnsi="Arial" w:cs="Arial"/>
          <w:sz w:val="22"/>
          <w:szCs w:val="22"/>
        </w:rPr>
        <w:t xml:space="preserve">. </w:t>
      </w:r>
    </w:p>
    <w:bookmarkEnd w:id="1"/>
    <w:p w14:paraId="790B8AA6" w14:textId="77777777" w:rsidR="00D902FA" w:rsidRDefault="00D902FA" w:rsidP="00D902FA">
      <w:pPr>
        <w:spacing w:line="276" w:lineRule="auto"/>
        <w:jc w:val="both"/>
        <w:rPr>
          <w:rFonts w:ascii="Arial" w:hAnsi="Arial" w:cs="Arial"/>
          <w:b/>
          <w:bCs/>
          <w:color w:val="FF0000"/>
          <w:sz w:val="22"/>
          <w:szCs w:val="22"/>
        </w:rPr>
      </w:pPr>
    </w:p>
    <w:p w14:paraId="4AD2F039" w14:textId="0986C172" w:rsidR="00D902FA" w:rsidRPr="00184D37" w:rsidRDefault="00184D37" w:rsidP="00D902FA">
      <w:pPr>
        <w:spacing w:line="276" w:lineRule="auto"/>
        <w:jc w:val="both"/>
        <w:rPr>
          <w:rFonts w:ascii="Arial" w:hAnsi="Arial" w:cs="Arial"/>
          <w:sz w:val="22"/>
          <w:szCs w:val="22"/>
        </w:rPr>
      </w:pPr>
      <w:r>
        <w:rPr>
          <w:rFonts w:ascii="Arial" w:hAnsi="Arial" w:cs="Arial"/>
          <w:sz w:val="22"/>
          <w:szCs w:val="22"/>
        </w:rPr>
        <w:t xml:space="preserve">Cheverell Magna </w:t>
      </w:r>
      <w:r w:rsidR="00F7609E" w:rsidRPr="000E62BA">
        <w:rPr>
          <w:rFonts w:ascii="Arial" w:hAnsi="Arial" w:cs="Arial"/>
          <w:sz w:val="22"/>
          <w:szCs w:val="22"/>
        </w:rPr>
        <w:t>Parish</w:t>
      </w:r>
      <w:r>
        <w:rPr>
          <w:rFonts w:ascii="Arial" w:hAnsi="Arial" w:cs="Arial"/>
          <w:sz w:val="22"/>
          <w:szCs w:val="22"/>
        </w:rPr>
        <w:t xml:space="preserve"> </w:t>
      </w:r>
      <w:r w:rsidR="00F7609E" w:rsidRPr="000E62BA">
        <w:rPr>
          <w:rFonts w:ascii="Arial" w:hAnsi="Arial" w:cs="Arial"/>
          <w:sz w:val="22"/>
          <w:szCs w:val="22"/>
        </w:rPr>
        <w:t>Council:</w:t>
      </w:r>
      <w:r w:rsidR="002927C8">
        <w:rPr>
          <w:rFonts w:ascii="Arial" w:hAnsi="Arial" w:cs="Arial"/>
          <w:sz w:val="22"/>
          <w:szCs w:val="22"/>
        </w:rPr>
        <w:t xml:space="preserve"> </w:t>
      </w:r>
      <w:r w:rsidRPr="00184D37">
        <w:rPr>
          <w:rFonts w:ascii="Arial" w:hAnsi="Arial" w:cs="Arial"/>
          <w:sz w:val="22"/>
          <w:szCs w:val="22"/>
        </w:rPr>
        <w:t xml:space="preserve">Following comments received: </w:t>
      </w:r>
    </w:p>
    <w:p w14:paraId="462A31CF" w14:textId="77777777" w:rsidR="00184D37" w:rsidRDefault="00184D37" w:rsidP="00D902FA">
      <w:pPr>
        <w:spacing w:line="276" w:lineRule="auto"/>
        <w:jc w:val="both"/>
        <w:rPr>
          <w:rFonts w:ascii="Arial" w:hAnsi="Arial" w:cs="Arial"/>
          <w:color w:val="FF0000"/>
          <w:sz w:val="22"/>
          <w:szCs w:val="22"/>
        </w:rPr>
      </w:pPr>
    </w:p>
    <w:p w14:paraId="1A3B78C8" w14:textId="07FBCF01" w:rsidR="00184D37" w:rsidRPr="00184D37" w:rsidRDefault="00184D37" w:rsidP="00184D37">
      <w:pPr>
        <w:spacing w:line="276" w:lineRule="auto"/>
        <w:jc w:val="both"/>
        <w:rPr>
          <w:rFonts w:ascii="Arial" w:hAnsi="Arial" w:cs="Arial"/>
          <w:i/>
          <w:iCs/>
          <w:sz w:val="22"/>
          <w:szCs w:val="22"/>
        </w:rPr>
      </w:pPr>
      <w:r>
        <w:rPr>
          <w:rFonts w:ascii="Arial" w:hAnsi="Arial" w:cs="Arial"/>
          <w:i/>
          <w:iCs/>
          <w:sz w:val="22"/>
          <w:szCs w:val="22"/>
        </w:rPr>
        <w:t>“</w:t>
      </w:r>
      <w:r w:rsidRPr="00184D37">
        <w:rPr>
          <w:rFonts w:ascii="Arial" w:hAnsi="Arial" w:cs="Arial"/>
          <w:i/>
          <w:iCs/>
          <w:sz w:val="22"/>
          <w:szCs w:val="22"/>
        </w:rPr>
        <w:t>The Parish Council is concerned that the current garden has a ditch within it, next to the boundary, which had been blocked for some time and required clearing. The blocked ditch causes flooding onto the footpath and surrounding field.</w:t>
      </w:r>
    </w:p>
    <w:p w14:paraId="588190BA" w14:textId="77777777" w:rsidR="00184D37" w:rsidRPr="00184D37" w:rsidRDefault="00184D37" w:rsidP="00184D37">
      <w:pPr>
        <w:spacing w:line="276" w:lineRule="auto"/>
        <w:jc w:val="both"/>
        <w:rPr>
          <w:rFonts w:ascii="Arial" w:hAnsi="Arial" w:cs="Arial"/>
          <w:i/>
          <w:iCs/>
          <w:sz w:val="22"/>
          <w:szCs w:val="22"/>
        </w:rPr>
      </w:pPr>
    </w:p>
    <w:p w14:paraId="4C094EEA" w14:textId="005B7782" w:rsidR="00184D37" w:rsidRPr="00184D37" w:rsidRDefault="00184D37" w:rsidP="00184D37">
      <w:pPr>
        <w:spacing w:line="276" w:lineRule="auto"/>
        <w:jc w:val="both"/>
        <w:rPr>
          <w:rFonts w:ascii="Arial" w:hAnsi="Arial" w:cs="Arial"/>
          <w:i/>
          <w:iCs/>
          <w:sz w:val="22"/>
          <w:szCs w:val="22"/>
        </w:rPr>
      </w:pPr>
      <w:r w:rsidRPr="00184D37">
        <w:rPr>
          <w:rFonts w:ascii="Arial" w:hAnsi="Arial" w:cs="Arial"/>
          <w:i/>
          <w:iCs/>
          <w:sz w:val="22"/>
          <w:szCs w:val="22"/>
        </w:rPr>
        <w:t>Members have no objection to the application subject to the condition that the owners reinstate a drainage system such as concrete pipes so that flooding onto the footpath and field is prevented.</w:t>
      </w:r>
      <w:r>
        <w:rPr>
          <w:rFonts w:ascii="Arial" w:hAnsi="Arial" w:cs="Arial"/>
          <w:i/>
          <w:iCs/>
          <w:sz w:val="22"/>
          <w:szCs w:val="22"/>
        </w:rPr>
        <w:t>”</w:t>
      </w:r>
    </w:p>
    <w:p w14:paraId="1956A688" w14:textId="77777777" w:rsidR="00D902FA" w:rsidRDefault="00D902FA" w:rsidP="00D902FA">
      <w:pPr>
        <w:spacing w:line="276" w:lineRule="auto"/>
        <w:jc w:val="both"/>
        <w:rPr>
          <w:rFonts w:ascii="Arial" w:hAnsi="Arial" w:cs="Arial"/>
          <w:b/>
          <w:bCs/>
          <w:color w:val="FF0000"/>
          <w:sz w:val="22"/>
          <w:szCs w:val="22"/>
        </w:rPr>
      </w:pPr>
    </w:p>
    <w:p w14:paraId="18F1D08F" w14:textId="77777777" w:rsidR="00D902FA" w:rsidRDefault="00D902FA" w:rsidP="00D902FA">
      <w:pPr>
        <w:spacing w:line="276" w:lineRule="auto"/>
        <w:jc w:val="both"/>
        <w:rPr>
          <w:rFonts w:ascii="Arial" w:hAnsi="Arial" w:cs="Arial"/>
          <w:b/>
          <w:bCs/>
          <w:color w:val="FF0000"/>
          <w:sz w:val="22"/>
          <w:szCs w:val="22"/>
        </w:rPr>
      </w:pPr>
    </w:p>
    <w:p w14:paraId="0FDAB300"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5411D18E"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4AA10429" w14:textId="77777777" w:rsidR="00D902FA" w:rsidRDefault="5CD3423D" w:rsidP="3656A09E">
      <w:pPr>
        <w:spacing w:line="276" w:lineRule="auto"/>
        <w:jc w:val="both"/>
      </w:pPr>
      <w:r w:rsidRPr="3656A09E">
        <w:rPr>
          <w:rFonts w:ascii="Arial" w:eastAsia="Arial" w:hAnsi="Arial" w:cs="Arial"/>
          <w:sz w:val="22"/>
          <w:szCs w:val="22"/>
        </w:rPr>
        <w:t xml:space="preserve"> </w:t>
      </w:r>
    </w:p>
    <w:p w14:paraId="1E296EFD"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 xml:space="preserve">Neighbour notification letters sent to adjoining and nearby </w:t>
      </w:r>
      <w:proofErr w:type="gramStart"/>
      <w:r w:rsidRPr="004817FB">
        <w:rPr>
          <w:rFonts w:ascii="Arial" w:eastAsia="Arial" w:hAnsi="Arial" w:cs="Arial"/>
          <w:sz w:val="22"/>
          <w:szCs w:val="22"/>
        </w:rPr>
        <w:t>properties;</w:t>
      </w:r>
      <w:proofErr w:type="gramEnd"/>
    </w:p>
    <w:p w14:paraId="3693AE70" w14:textId="231E47B0"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w:t>
      </w:r>
      <w:proofErr w:type="gramStart"/>
      <w:r w:rsidRPr="004817FB">
        <w:rPr>
          <w:rFonts w:ascii="Arial" w:eastAsia="Arial" w:hAnsi="Arial" w:cs="Arial"/>
          <w:sz w:val="22"/>
          <w:szCs w:val="22"/>
        </w:rPr>
        <w:t>site;</w:t>
      </w:r>
      <w:proofErr w:type="gramEnd"/>
      <w:r w:rsidRPr="004817FB">
        <w:rPr>
          <w:rFonts w:ascii="Arial" w:eastAsia="Arial" w:hAnsi="Arial" w:cs="Arial"/>
          <w:sz w:val="22"/>
          <w:szCs w:val="22"/>
        </w:rPr>
        <w:t xml:space="preserve"> </w:t>
      </w:r>
    </w:p>
    <w:p w14:paraId="5A97BFF3" w14:textId="4BF5788B"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An advertisement placed in the local press</w:t>
      </w:r>
      <w:r w:rsidR="001F3784">
        <w:rPr>
          <w:rFonts w:ascii="Arial" w:eastAsia="Arial" w:hAnsi="Arial" w:cs="Arial"/>
          <w:sz w:val="22"/>
          <w:szCs w:val="22"/>
        </w:rPr>
        <w:t>.</w:t>
      </w:r>
    </w:p>
    <w:p w14:paraId="0AABAF23" w14:textId="77777777" w:rsidR="00D902FA" w:rsidRDefault="5CD3423D" w:rsidP="3656A09E">
      <w:pPr>
        <w:spacing w:line="276" w:lineRule="auto"/>
        <w:jc w:val="both"/>
      </w:pPr>
      <w:r w:rsidRPr="3656A09E">
        <w:rPr>
          <w:rFonts w:ascii="Arial" w:eastAsia="Arial" w:hAnsi="Arial" w:cs="Arial"/>
          <w:sz w:val="22"/>
          <w:szCs w:val="22"/>
        </w:rPr>
        <w:t xml:space="preserve"> </w:t>
      </w:r>
    </w:p>
    <w:p w14:paraId="5AA10AC7" w14:textId="2D316F95" w:rsidR="0007377C" w:rsidRDefault="5CD3423D" w:rsidP="0007377C">
      <w:pPr>
        <w:spacing w:line="276" w:lineRule="auto"/>
        <w:jc w:val="both"/>
        <w:rPr>
          <w:rFonts w:ascii="Arial" w:eastAsia="Arial" w:hAnsi="Arial" w:cs="Arial"/>
          <w:sz w:val="22"/>
          <w:szCs w:val="22"/>
        </w:rPr>
      </w:pPr>
      <w:r w:rsidRPr="004817FB">
        <w:rPr>
          <w:rFonts w:ascii="Arial" w:eastAsia="Arial" w:hAnsi="Arial" w:cs="Arial"/>
          <w:sz w:val="22"/>
          <w:szCs w:val="22"/>
        </w:rPr>
        <w:t>These methods were used to inform interested parties and provide a period of 21 days for comments to be submitte</w:t>
      </w:r>
      <w:r w:rsidR="001F3784">
        <w:rPr>
          <w:rFonts w:ascii="Arial" w:eastAsia="Arial" w:hAnsi="Arial" w:cs="Arial"/>
          <w:sz w:val="22"/>
          <w:szCs w:val="22"/>
        </w:rPr>
        <w:t xml:space="preserve">d. No letters of representations were received. </w:t>
      </w:r>
    </w:p>
    <w:p w14:paraId="78D83961" w14:textId="77777777" w:rsidR="001F3784" w:rsidRDefault="001F3784" w:rsidP="0007377C">
      <w:pPr>
        <w:spacing w:line="276" w:lineRule="auto"/>
        <w:jc w:val="both"/>
        <w:rPr>
          <w:rFonts w:ascii="Arial" w:eastAsia="Arial" w:hAnsi="Arial" w:cs="Arial"/>
          <w:sz w:val="22"/>
          <w:szCs w:val="22"/>
        </w:rPr>
      </w:pPr>
    </w:p>
    <w:p w14:paraId="12EFC203" w14:textId="77777777" w:rsidR="001F3784" w:rsidRPr="001F3784" w:rsidRDefault="001F3784" w:rsidP="0007377C">
      <w:pPr>
        <w:spacing w:line="276" w:lineRule="auto"/>
        <w:jc w:val="both"/>
      </w:pPr>
    </w:p>
    <w:p w14:paraId="6F274B82" w14:textId="07467944"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5188A48D"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021D857A" w14:textId="77777777" w:rsidR="0092586B" w:rsidRPr="0092586B" w:rsidRDefault="0092586B" w:rsidP="0092586B">
      <w:pPr>
        <w:spacing w:line="276" w:lineRule="auto"/>
        <w:jc w:val="both"/>
        <w:rPr>
          <w:rFonts w:ascii="Arial" w:hAnsi="Arial" w:cs="Arial"/>
          <w:color w:val="000000" w:themeColor="text1"/>
          <w:sz w:val="22"/>
          <w:szCs w:val="22"/>
        </w:rPr>
      </w:pPr>
    </w:p>
    <w:p w14:paraId="41963B0A"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63BE6F" w14:textId="77777777" w:rsidR="0092586B" w:rsidRPr="0092586B" w:rsidRDefault="0092586B" w:rsidP="0092586B">
      <w:pPr>
        <w:spacing w:line="276" w:lineRule="auto"/>
        <w:jc w:val="both"/>
        <w:rPr>
          <w:rFonts w:ascii="Arial" w:hAnsi="Arial" w:cs="Arial"/>
          <w:color w:val="000000" w:themeColor="text1"/>
          <w:sz w:val="22"/>
          <w:szCs w:val="22"/>
        </w:rPr>
      </w:pPr>
    </w:p>
    <w:p w14:paraId="7C8D83F5"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5C0C53D3" w14:textId="77777777" w:rsidR="0007377C" w:rsidRDefault="0007377C" w:rsidP="0007377C">
      <w:pPr>
        <w:spacing w:line="276" w:lineRule="auto"/>
        <w:jc w:val="both"/>
        <w:rPr>
          <w:rFonts w:ascii="Arial" w:hAnsi="Arial" w:cs="Arial"/>
          <w:b/>
          <w:bCs/>
          <w:color w:val="FF0000"/>
          <w:sz w:val="22"/>
          <w:szCs w:val="22"/>
        </w:rPr>
      </w:pPr>
    </w:p>
    <w:p w14:paraId="2BE51F03"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0FE384C5"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26692267"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 xml:space="preserve">The </w:t>
      </w:r>
      <w:proofErr w:type="gramStart"/>
      <w:r w:rsidR="00B75EF9">
        <w:rPr>
          <w:rFonts w:ascii="Arial" w:hAnsi="Arial" w:cs="Arial"/>
          <w:sz w:val="22"/>
          <w:szCs w:val="22"/>
        </w:rPr>
        <w:t>policy  p</w:t>
      </w:r>
      <w:r w:rsidRPr="00482DB3">
        <w:rPr>
          <w:rFonts w:ascii="Arial" w:hAnsi="Arial" w:cs="Arial"/>
          <w:sz w:val="22"/>
          <w:szCs w:val="22"/>
        </w:rPr>
        <w:t>rioritises</w:t>
      </w:r>
      <w:proofErr w:type="gramEnd"/>
      <w:r w:rsidRPr="00482DB3">
        <w:rPr>
          <w:rFonts w:ascii="Arial" w:hAnsi="Arial" w:cs="Arial"/>
          <w:sz w:val="22"/>
          <w:szCs w:val="22"/>
        </w:rPr>
        <w:t xml:space="preserve"> growth in:</w:t>
      </w:r>
    </w:p>
    <w:p w14:paraId="2A59A309"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 xml:space="preserve">Principal Settlements (e.g., Salisbury, Chippenham, Trowbridge) – </w:t>
      </w:r>
      <w:proofErr w:type="gramStart"/>
      <w:r w:rsidRPr="00482DB3">
        <w:rPr>
          <w:rFonts w:ascii="Arial" w:hAnsi="Arial" w:cs="Arial"/>
          <w:sz w:val="22"/>
          <w:szCs w:val="22"/>
        </w:rPr>
        <w:t>main focus</w:t>
      </w:r>
      <w:proofErr w:type="gramEnd"/>
      <w:r w:rsidRPr="00482DB3">
        <w:rPr>
          <w:rFonts w:ascii="Arial" w:hAnsi="Arial" w:cs="Arial"/>
          <w:sz w:val="22"/>
          <w:szCs w:val="22"/>
        </w:rPr>
        <w:t xml:space="preserve"> for strategic growth.</w:t>
      </w:r>
    </w:p>
    <w:p w14:paraId="4BD04D09"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11283806"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4EFA0B48"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698F9F79" w14:textId="77777777" w:rsidR="00B75EF9"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45E5C863"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1B45593B"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4E7CE90D"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29056F8A"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5094D67A"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78F4DBE3"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64A47DF0" w14:textId="77777777" w:rsidR="00482DB3" w:rsidRPr="00482DB3" w:rsidRDefault="003E40FF"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15803E60"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73E5A8B6" w14:textId="77777777" w:rsidR="00F124BA" w:rsidRDefault="00F124BA" w:rsidP="00F81970">
      <w:pPr>
        <w:spacing w:line="276" w:lineRule="auto"/>
        <w:jc w:val="both"/>
        <w:rPr>
          <w:rFonts w:ascii="Arial" w:hAnsi="Arial" w:cs="Arial"/>
          <w:b/>
          <w:bCs/>
          <w:sz w:val="22"/>
          <w:szCs w:val="22"/>
        </w:rPr>
      </w:pPr>
    </w:p>
    <w:p w14:paraId="56130192" w14:textId="77777777" w:rsidR="00C15984" w:rsidRDefault="00C15984" w:rsidP="00F81970">
      <w:pPr>
        <w:spacing w:line="276" w:lineRule="auto"/>
        <w:jc w:val="both"/>
        <w:rPr>
          <w:rFonts w:ascii="Arial" w:hAnsi="Arial" w:cs="Arial"/>
          <w:b/>
          <w:bCs/>
          <w:sz w:val="22"/>
          <w:szCs w:val="22"/>
        </w:rPr>
      </w:pPr>
    </w:p>
    <w:p w14:paraId="32302AB0"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4B10F22C" w14:textId="77777777" w:rsidR="00311803" w:rsidRDefault="00311803" w:rsidP="00F81970">
      <w:pPr>
        <w:spacing w:line="276" w:lineRule="auto"/>
        <w:jc w:val="both"/>
        <w:rPr>
          <w:rFonts w:ascii="Arial" w:hAnsi="Arial" w:cs="Arial"/>
          <w:i/>
          <w:iCs/>
          <w:sz w:val="22"/>
          <w:szCs w:val="22"/>
        </w:rPr>
      </w:pPr>
    </w:p>
    <w:p w14:paraId="0ACF1FE5" w14:textId="77777777" w:rsidR="00311803" w:rsidRDefault="00311803" w:rsidP="00311803">
      <w:pPr>
        <w:spacing w:line="276" w:lineRule="auto"/>
        <w:jc w:val="both"/>
        <w:rPr>
          <w:rFonts w:ascii="Arial" w:hAnsi="Arial" w:cs="Arial"/>
          <w:sz w:val="22"/>
          <w:szCs w:val="22"/>
        </w:rPr>
      </w:pPr>
      <w:r w:rsidRPr="00311803">
        <w:rPr>
          <w:rFonts w:ascii="Arial" w:hAnsi="Arial" w:cs="Arial"/>
          <w:sz w:val="22"/>
          <w:szCs w:val="22"/>
        </w:rPr>
        <w:t>Core Policies 1 and 2 of the Wiltshire Core Strategy set out the settlement strategy for the county and direct new development to the most sustainable locations, with open countryside generally afforded strong protection from inappropriate or unjustified forms of development. The proposal seeks the change of use of a small parcel of land from agricultural to residential garden land. Although the site lies outside the identified Limits of Development for Great Cheverell and therefore within the open countryside for planning policy purposes, the land is immediately contiguous with the existing domestic curtilage and forms a logical and modest extension to the established garden of the host dwelling.</w:t>
      </w:r>
    </w:p>
    <w:p w14:paraId="02C66162" w14:textId="77777777" w:rsidR="00311803" w:rsidRPr="00311803" w:rsidRDefault="00311803" w:rsidP="00311803">
      <w:pPr>
        <w:spacing w:line="276" w:lineRule="auto"/>
        <w:jc w:val="both"/>
        <w:rPr>
          <w:rFonts w:ascii="Arial" w:hAnsi="Arial" w:cs="Arial"/>
          <w:sz w:val="22"/>
          <w:szCs w:val="22"/>
        </w:rPr>
      </w:pPr>
    </w:p>
    <w:p w14:paraId="549303FB" w14:textId="47075694" w:rsidR="00311803" w:rsidRPr="00311803" w:rsidRDefault="00311803" w:rsidP="00311803">
      <w:pPr>
        <w:spacing w:line="276" w:lineRule="auto"/>
        <w:jc w:val="both"/>
        <w:rPr>
          <w:rFonts w:ascii="Arial" w:hAnsi="Arial" w:cs="Arial"/>
          <w:sz w:val="22"/>
          <w:szCs w:val="22"/>
        </w:rPr>
      </w:pPr>
      <w:r w:rsidRPr="00311803">
        <w:rPr>
          <w:rFonts w:ascii="Arial" w:hAnsi="Arial" w:cs="Arial"/>
          <w:sz w:val="22"/>
          <w:szCs w:val="22"/>
        </w:rPr>
        <w:t>The parcel is visually and functionally well related to the existing residential plot, and its incorporation into the domestic curtilage would not result in an encroachment of built form or an isolated, detached pattern of development. No operational development of significance is proposed beyond low</w:t>
      </w:r>
      <w:r w:rsidRPr="00311803">
        <w:rPr>
          <w:rFonts w:ascii="Cambria Math" w:hAnsi="Cambria Math" w:cs="Cambria Math"/>
          <w:sz w:val="22"/>
          <w:szCs w:val="22"/>
        </w:rPr>
        <w:t>‑</w:t>
      </w:r>
      <w:r w:rsidRPr="00311803">
        <w:rPr>
          <w:rFonts w:ascii="Arial" w:hAnsi="Arial" w:cs="Arial"/>
          <w:sz w:val="22"/>
          <w:szCs w:val="22"/>
        </w:rPr>
        <w:t>level boundary treatments, and the change of use would not materially alter the character or pattern of settlement in this location. Given the small scale of the land and its strong relationship with the existing dwelling, the proposal is not considered to conflict with the strategic aims of CP1 and CP2, which seek to prevent sporadic development in the countryside and ensure that uses remain appropriately located.</w:t>
      </w:r>
    </w:p>
    <w:p w14:paraId="7CE263F2" w14:textId="77777777" w:rsidR="00E03EDD" w:rsidRDefault="00E03EDD" w:rsidP="00F81970">
      <w:pPr>
        <w:spacing w:line="276" w:lineRule="auto"/>
        <w:jc w:val="both"/>
        <w:rPr>
          <w:rFonts w:ascii="Arial" w:hAnsi="Arial" w:cs="Arial"/>
          <w:i/>
          <w:iCs/>
          <w:sz w:val="22"/>
          <w:szCs w:val="22"/>
        </w:rPr>
      </w:pPr>
    </w:p>
    <w:p w14:paraId="14213C18" w14:textId="77777777" w:rsidR="00E03EDD" w:rsidRDefault="00E03EDD" w:rsidP="00F81970">
      <w:pPr>
        <w:spacing w:line="276" w:lineRule="auto"/>
        <w:jc w:val="both"/>
        <w:rPr>
          <w:rFonts w:ascii="Arial" w:hAnsi="Arial" w:cs="Arial"/>
          <w:i/>
          <w:iCs/>
          <w:sz w:val="22"/>
          <w:szCs w:val="22"/>
        </w:rPr>
      </w:pPr>
    </w:p>
    <w:p w14:paraId="5A0B1DE3"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050308BD" w14:textId="77777777" w:rsidR="00311803" w:rsidRDefault="00311803" w:rsidP="00E03EDD">
      <w:pPr>
        <w:spacing w:line="276" w:lineRule="auto"/>
        <w:jc w:val="both"/>
        <w:rPr>
          <w:rFonts w:ascii="Arial" w:hAnsi="Arial" w:cs="Arial"/>
          <w:i/>
          <w:iCs/>
          <w:sz w:val="22"/>
          <w:szCs w:val="22"/>
        </w:rPr>
      </w:pPr>
    </w:p>
    <w:p w14:paraId="362ECEFB" w14:textId="4C30316B" w:rsidR="00311803" w:rsidRPr="00311803" w:rsidRDefault="00311803" w:rsidP="00E03EDD">
      <w:pPr>
        <w:spacing w:line="276" w:lineRule="auto"/>
        <w:jc w:val="both"/>
        <w:rPr>
          <w:rFonts w:ascii="Arial" w:hAnsi="Arial" w:cs="Arial"/>
          <w:sz w:val="22"/>
          <w:szCs w:val="22"/>
        </w:rPr>
      </w:pPr>
      <w:r w:rsidRPr="00311803">
        <w:rPr>
          <w:rFonts w:ascii="Arial" w:hAnsi="Arial" w:cs="Arial"/>
          <w:sz w:val="22"/>
          <w:szCs w:val="22"/>
        </w:rPr>
        <w:t>Accordingly, the principle of the development is considered acceptable, subject to the proposal satisfying all other relevant policies of the local development plan.</w:t>
      </w:r>
    </w:p>
    <w:p w14:paraId="77867E01" w14:textId="77777777" w:rsidR="00722BAC" w:rsidRDefault="00722BAC" w:rsidP="7D84FC5F">
      <w:pPr>
        <w:spacing w:line="276" w:lineRule="auto"/>
        <w:jc w:val="both"/>
        <w:rPr>
          <w:rFonts w:ascii="Arial" w:hAnsi="Arial" w:cs="Arial"/>
          <w:b/>
          <w:bCs/>
          <w:sz w:val="22"/>
          <w:szCs w:val="22"/>
        </w:rPr>
      </w:pPr>
    </w:p>
    <w:p w14:paraId="648EF62C" w14:textId="77777777" w:rsidR="0021750A" w:rsidRDefault="0021750A" w:rsidP="7D84FC5F">
      <w:pPr>
        <w:spacing w:line="276" w:lineRule="auto"/>
        <w:jc w:val="both"/>
        <w:rPr>
          <w:rFonts w:ascii="Arial" w:hAnsi="Arial" w:cs="Arial"/>
          <w:b/>
          <w:bCs/>
          <w:sz w:val="22"/>
          <w:szCs w:val="22"/>
        </w:rPr>
      </w:pPr>
    </w:p>
    <w:p w14:paraId="5B86D72A" w14:textId="7B6F442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 xml:space="preserve">Design and Impact on the </w:t>
      </w:r>
      <w:r w:rsidR="00CE0DF1">
        <w:rPr>
          <w:rFonts w:ascii="Arial" w:hAnsi="Arial" w:cs="Arial"/>
          <w:b/>
          <w:bCs/>
          <w:sz w:val="22"/>
          <w:szCs w:val="22"/>
        </w:rPr>
        <w:t xml:space="preserve">Landscape and </w:t>
      </w:r>
      <w:r w:rsidRPr="00AA13D0">
        <w:rPr>
          <w:rFonts w:ascii="Arial" w:hAnsi="Arial" w:cs="Arial"/>
          <w:b/>
          <w:bCs/>
          <w:sz w:val="22"/>
          <w:szCs w:val="22"/>
        </w:rPr>
        <w:t>Character and Appearance of the Area</w:t>
      </w:r>
    </w:p>
    <w:p w14:paraId="5EF956A6"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1E7E09D4"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644BD697"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4C74511F"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2558EC2D"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F6952FC"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66A1892D" w14:textId="77777777" w:rsid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3333C02D" w14:textId="77777777" w:rsidR="00CE0DF1" w:rsidRDefault="00CE0DF1" w:rsidP="00CE0DF1">
      <w:pPr>
        <w:spacing w:line="276" w:lineRule="auto"/>
        <w:jc w:val="both"/>
        <w:rPr>
          <w:rFonts w:ascii="Arial" w:hAnsi="Arial" w:cs="Arial"/>
          <w:sz w:val="22"/>
          <w:szCs w:val="22"/>
        </w:rPr>
      </w:pPr>
    </w:p>
    <w:p w14:paraId="2E2F7C05" w14:textId="77777777" w:rsidR="00CE0DF1" w:rsidRPr="00CE0DF1" w:rsidRDefault="00CE0DF1" w:rsidP="00CE0DF1">
      <w:pPr>
        <w:spacing w:line="276" w:lineRule="auto"/>
        <w:jc w:val="both"/>
        <w:rPr>
          <w:rFonts w:ascii="Arial" w:hAnsi="Arial" w:cs="Arial"/>
          <w:sz w:val="22"/>
          <w:szCs w:val="22"/>
        </w:rPr>
      </w:pPr>
      <w:r w:rsidRPr="00CE0DF1">
        <w:rPr>
          <w:rFonts w:ascii="Arial" w:hAnsi="Arial" w:cs="Arial"/>
          <w:sz w:val="22"/>
          <w:szCs w:val="22"/>
        </w:rPr>
        <w:t>Core Policy 51 of the Wiltshire Core Strategy requires development to:</w:t>
      </w:r>
    </w:p>
    <w:p w14:paraId="6EB58954" w14:textId="0BB78B55" w:rsidR="00CE0DF1" w:rsidRPr="00CE0DF1" w:rsidRDefault="00CE0DF1" w:rsidP="00CE0DF1">
      <w:pPr>
        <w:pStyle w:val="ListParagraph"/>
        <w:numPr>
          <w:ilvl w:val="0"/>
          <w:numId w:val="5"/>
        </w:numPr>
        <w:spacing w:line="276" w:lineRule="auto"/>
        <w:jc w:val="both"/>
        <w:rPr>
          <w:rFonts w:ascii="Arial" w:hAnsi="Arial" w:cs="Arial"/>
          <w:sz w:val="22"/>
          <w:szCs w:val="22"/>
        </w:rPr>
      </w:pPr>
      <w:r w:rsidRPr="00CE0DF1">
        <w:rPr>
          <w:rFonts w:ascii="Arial" w:hAnsi="Arial" w:cs="Arial"/>
          <w:sz w:val="22"/>
          <w:szCs w:val="22"/>
        </w:rPr>
        <w:t>Protect, conserve, and enhance landscape character and quality.</w:t>
      </w:r>
    </w:p>
    <w:p w14:paraId="45626097" w14:textId="4B96B3B4" w:rsidR="00CE0DF1" w:rsidRPr="00CE0DF1" w:rsidRDefault="00CE0DF1" w:rsidP="00CE0DF1">
      <w:pPr>
        <w:pStyle w:val="ListParagraph"/>
        <w:numPr>
          <w:ilvl w:val="0"/>
          <w:numId w:val="5"/>
        </w:numPr>
        <w:spacing w:line="276" w:lineRule="auto"/>
        <w:jc w:val="both"/>
        <w:rPr>
          <w:rFonts w:ascii="Arial" w:hAnsi="Arial" w:cs="Arial"/>
          <w:sz w:val="22"/>
          <w:szCs w:val="22"/>
        </w:rPr>
      </w:pPr>
      <w:r w:rsidRPr="00CE0DF1">
        <w:rPr>
          <w:rFonts w:ascii="Arial" w:hAnsi="Arial" w:cs="Arial"/>
          <w:sz w:val="22"/>
          <w:szCs w:val="22"/>
        </w:rPr>
        <w:t>Respect local distinctiveness, key views, and visual receptors.</w:t>
      </w:r>
    </w:p>
    <w:p w14:paraId="6A204B1B" w14:textId="45CFDB23" w:rsidR="00CE0DF1" w:rsidRPr="00CE0DF1" w:rsidRDefault="00CE0DF1" w:rsidP="00CE0DF1">
      <w:pPr>
        <w:pStyle w:val="ListParagraph"/>
        <w:numPr>
          <w:ilvl w:val="0"/>
          <w:numId w:val="5"/>
        </w:numPr>
        <w:spacing w:line="276" w:lineRule="auto"/>
        <w:jc w:val="both"/>
        <w:rPr>
          <w:rFonts w:ascii="Arial" w:hAnsi="Arial" w:cs="Arial"/>
          <w:sz w:val="22"/>
          <w:szCs w:val="22"/>
        </w:rPr>
      </w:pPr>
      <w:r w:rsidRPr="00CE0DF1">
        <w:rPr>
          <w:rFonts w:ascii="Arial" w:hAnsi="Arial" w:cs="Arial"/>
          <w:sz w:val="22"/>
          <w:szCs w:val="22"/>
        </w:rPr>
        <w:t xml:space="preserve">Give </w:t>
      </w:r>
      <w:proofErr w:type="gramStart"/>
      <w:r w:rsidRPr="00CE0DF1">
        <w:rPr>
          <w:rFonts w:ascii="Arial" w:hAnsi="Arial" w:cs="Arial"/>
          <w:sz w:val="22"/>
          <w:szCs w:val="22"/>
        </w:rPr>
        <w:t>particular weight</w:t>
      </w:r>
      <w:proofErr w:type="gramEnd"/>
      <w:r w:rsidRPr="00CE0DF1">
        <w:rPr>
          <w:rFonts w:ascii="Arial" w:hAnsi="Arial" w:cs="Arial"/>
          <w:sz w:val="22"/>
          <w:szCs w:val="22"/>
        </w:rPr>
        <w:t xml:space="preserve"> to impacts on National Landscapes (formerly AONBs) and locally valued landscapes.</w:t>
      </w:r>
    </w:p>
    <w:p w14:paraId="5E18784F" w14:textId="77777777" w:rsidR="00107D4F" w:rsidRDefault="00107D4F" w:rsidP="00107D4F">
      <w:pPr>
        <w:spacing w:line="276" w:lineRule="auto"/>
        <w:jc w:val="both"/>
        <w:rPr>
          <w:rFonts w:ascii="Arial" w:hAnsi="Arial" w:cs="Arial"/>
          <w:sz w:val="22"/>
          <w:szCs w:val="22"/>
        </w:rPr>
      </w:pPr>
    </w:p>
    <w:p w14:paraId="6BCC5D4B"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1A23E3FC"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6DEDF703"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5D2A1E55"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33DA809E" w14:textId="77777777" w:rsidR="00107D4F" w:rsidRDefault="00107D4F" w:rsidP="00107D4F">
      <w:pPr>
        <w:spacing w:line="276" w:lineRule="auto"/>
        <w:jc w:val="both"/>
        <w:rPr>
          <w:rFonts w:ascii="Arial" w:hAnsi="Arial" w:cs="Arial"/>
          <w:sz w:val="22"/>
          <w:szCs w:val="22"/>
        </w:rPr>
      </w:pPr>
    </w:p>
    <w:p w14:paraId="6084E9CA"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6609D3A8" w14:textId="77777777" w:rsidR="00EA19AA" w:rsidRDefault="00EA19AA" w:rsidP="00EA19AA">
      <w:pPr>
        <w:spacing w:line="276" w:lineRule="auto"/>
        <w:jc w:val="both"/>
        <w:rPr>
          <w:rFonts w:ascii="Arial" w:hAnsi="Arial" w:cs="Arial"/>
          <w:sz w:val="22"/>
          <w:szCs w:val="22"/>
        </w:rPr>
      </w:pPr>
    </w:p>
    <w:p w14:paraId="7A8521A0" w14:textId="77777777" w:rsidR="008E59DE" w:rsidRDefault="008E59DE" w:rsidP="00B341CC">
      <w:pPr>
        <w:spacing w:line="276" w:lineRule="auto"/>
        <w:jc w:val="both"/>
        <w:rPr>
          <w:rFonts w:ascii="Arial" w:hAnsi="Arial" w:cs="Arial"/>
          <w:b/>
          <w:bCs/>
          <w:sz w:val="22"/>
          <w:szCs w:val="22"/>
        </w:rPr>
      </w:pPr>
    </w:p>
    <w:p w14:paraId="6068033D"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351B74EF" w14:textId="77777777" w:rsidR="00311803" w:rsidRDefault="00311803" w:rsidP="00B341CC">
      <w:pPr>
        <w:spacing w:line="276" w:lineRule="auto"/>
        <w:jc w:val="both"/>
        <w:rPr>
          <w:rFonts w:ascii="Arial" w:hAnsi="Arial" w:cs="Arial"/>
          <w:i/>
          <w:iCs/>
          <w:sz w:val="22"/>
          <w:szCs w:val="22"/>
        </w:rPr>
      </w:pPr>
    </w:p>
    <w:p w14:paraId="56C56E07" w14:textId="77777777" w:rsidR="004F0ECC" w:rsidRDefault="004F0ECC" w:rsidP="004F0ECC">
      <w:pPr>
        <w:spacing w:line="276" w:lineRule="auto"/>
        <w:jc w:val="both"/>
        <w:rPr>
          <w:rFonts w:ascii="Arial" w:hAnsi="Arial" w:cs="Arial"/>
          <w:sz w:val="22"/>
          <w:szCs w:val="22"/>
        </w:rPr>
      </w:pPr>
      <w:r w:rsidRPr="004F0ECC">
        <w:rPr>
          <w:rFonts w:ascii="Arial" w:hAnsi="Arial" w:cs="Arial"/>
          <w:sz w:val="22"/>
          <w:szCs w:val="22"/>
        </w:rPr>
        <w:t>The parcel of land proposed for incorporation is physically and visually well related to the host dwelling. The existing garden already sits at a higher ground level to the south and east, which aligns naturally with the adjoining land, meaning only minimal ground regrading would be required. The former boundary treatment along the southern edge of the garden has been removed, and the parcel now forms a coherent and easily integrated extension to the domestic curtilage.</w:t>
      </w:r>
    </w:p>
    <w:p w14:paraId="20185F4E" w14:textId="77777777" w:rsidR="004F0ECC" w:rsidRPr="004F0ECC" w:rsidRDefault="004F0ECC" w:rsidP="004F0ECC">
      <w:pPr>
        <w:spacing w:line="276" w:lineRule="auto"/>
        <w:jc w:val="both"/>
        <w:rPr>
          <w:rFonts w:ascii="Arial" w:hAnsi="Arial" w:cs="Arial"/>
          <w:sz w:val="22"/>
          <w:szCs w:val="22"/>
        </w:rPr>
      </w:pPr>
    </w:p>
    <w:p w14:paraId="6F1AEA51" w14:textId="77777777" w:rsidR="004F0ECC" w:rsidRDefault="004F0ECC" w:rsidP="004F0ECC">
      <w:pPr>
        <w:spacing w:line="276" w:lineRule="auto"/>
        <w:jc w:val="both"/>
        <w:rPr>
          <w:rFonts w:ascii="Arial" w:hAnsi="Arial" w:cs="Arial"/>
          <w:sz w:val="22"/>
          <w:szCs w:val="22"/>
        </w:rPr>
      </w:pPr>
      <w:r w:rsidRPr="004F0ECC">
        <w:rPr>
          <w:rFonts w:ascii="Arial" w:hAnsi="Arial" w:cs="Arial"/>
          <w:sz w:val="22"/>
          <w:szCs w:val="22"/>
        </w:rPr>
        <w:t>The mature hedging along the southern and eastern boundaries of the parcel will be retained and continues to provide a strong and established landscape edge. This ensures that the land does not appear as an encroachment into the wider agricultural field system to the south and instead reads as part of the well</w:t>
      </w:r>
      <w:r w:rsidRPr="004F0ECC">
        <w:rPr>
          <w:rFonts w:ascii="Cambria Math" w:hAnsi="Cambria Math" w:cs="Cambria Math"/>
          <w:sz w:val="22"/>
          <w:szCs w:val="22"/>
        </w:rPr>
        <w:t>‑</w:t>
      </w:r>
      <w:r w:rsidRPr="004F0ECC">
        <w:rPr>
          <w:rFonts w:ascii="Arial" w:hAnsi="Arial" w:cs="Arial"/>
          <w:sz w:val="22"/>
          <w:szCs w:val="22"/>
        </w:rPr>
        <w:t>contained garden environment of the host dwelling. The proposal to extend the existing 1.8</w:t>
      </w:r>
      <w:r w:rsidRPr="004F0ECC">
        <w:rPr>
          <w:rFonts w:ascii="Cambria Math" w:hAnsi="Cambria Math" w:cs="Cambria Math"/>
          <w:sz w:val="22"/>
          <w:szCs w:val="22"/>
        </w:rPr>
        <w:t>‑</w:t>
      </w:r>
      <w:r w:rsidRPr="004F0ECC">
        <w:rPr>
          <w:rFonts w:ascii="Arial" w:hAnsi="Arial" w:cs="Arial"/>
          <w:sz w:val="22"/>
          <w:szCs w:val="22"/>
        </w:rPr>
        <w:t>metre close</w:t>
      </w:r>
      <w:r w:rsidRPr="004F0ECC">
        <w:rPr>
          <w:rFonts w:ascii="Cambria Math" w:hAnsi="Cambria Math" w:cs="Cambria Math"/>
          <w:sz w:val="22"/>
          <w:szCs w:val="22"/>
        </w:rPr>
        <w:t>‑</w:t>
      </w:r>
      <w:r w:rsidRPr="004F0ECC">
        <w:rPr>
          <w:rFonts w:ascii="Arial" w:hAnsi="Arial" w:cs="Arial"/>
          <w:sz w:val="22"/>
          <w:szCs w:val="22"/>
        </w:rPr>
        <w:t>boarded fence along the western boundary is very minor, involving only a short continuation of approximately 2.5 metres. The remaining boundaries would be enclosed with low</w:t>
      </w:r>
      <w:r w:rsidRPr="004F0ECC">
        <w:rPr>
          <w:rFonts w:ascii="Cambria Math" w:hAnsi="Cambria Math" w:cs="Cambria Math"/>
          <w:sz w:val="22"/>
          <w:szCs w:val="22"/>
        </w:rPr>
        <w:t>‑</w:t>
      </w:r>
      <w:r w:rsidRPr="004F0ECC">
        <w:rPr>
          <w:rFonts w:ascii="Arial" w:hAnsi="Arial" w:cs="Arial"/>
          <w:sz w:val="22"/>
          <w:szCs w:val="22"/>
        </w:rPr>
        <w:t>level post</w:t>
      </w:r>
      <w:r w:rsidRPr="004F0ECC">
        <w:rPr>
          <w:rFonts w:ascii="Cambria Math" w:hAnsi="Cambria Math" w:cs="Cambria Math"/>
          <w:sz w:val="22"/>
          <w:szCs w:val="22"/>
        </w:rPr>
        <w:t>‑</w:t>
      </w:r>
      <w:r w:rsidRPr="004F0ECC">
        <w:rPr>
          <w:rFonts w:ascii="Arial" w:hAnsi="Arial" w:cs="Arial"/>
          <w:sz w:val="22"/>
          <w:szCs w:val="22"/>
        </w:rPr>
        <w:t>and</w:t>
      </w:r>
      <w:r w:rsidRPr="004F0ECC">
        <w:rPr>
          <w:rFonts w:ascii="Cambria Math" w:hAnsi="Cambria Math" w:cs="Cambria Math"/>
          <w:sz w:val="22"/>
          <w:szCs w:val="22"/>
        </w:rPr>
        <w:t>‑</w:t>
      </w:r>
      <w:r w:rsidRPr="004F0ECC">
        <w:rPr>
          <w:rFonts w:ascii="Arial" w:hAnsi="Arial" w:cs="Arial"/>
          <w:sz w:val="22"/>
          <w:szCs w:val="22"/>
        </w:rPr>
        <w:t>wire stock fencing, which is an appropriate and rural form of boundary treatment for edges adjoining open countryside. Any small gaps within the hedgerow can be reinforced through additional planting if required, further supporting the established landscape structure.</w:t>
      </w:r>
    </w:p>
    <w:p w14:paraId="2840FA39" w14:textId="77777777" w:rsidR="004F0ECC" w:rsidRPr="004F0ECC" w:rsidRDefault="004F0ECC" w:rsidP="004F0ECC">
      <w:pPr>
        <w:spacing w:line="276" w:lineRule="auto"/>
        <w:jc w:val="both"/>
        <w:rPr>
          <w:rFonts w:ascii="Arial" w:hAnsi="Arial" w:cs="Arial"/>
          <w:sz w:val="22"/>
          <w:szCs w:val="22"/>
        </w:rPr>
      </w:pPr>
    </w:p>
    <w:p w14:paraId="11512EC7" w14:textId="769C1537" w:rsidR="008E59DE" w:rsidRDefault="004F0ECC" w:rsidP="004F0ECC">
      <w:pPr>
        <w:spacing w:line="276" w:lineRule="auto"/>
        <w:jc w:val="both"/>
        <w:rPr>
          <w:rFonts w:ascii="Arial" w:hAnsi="Arial" w:cs="Arial"/>
          <w:i/>
          <w:iCs/>
          <w:sz w:val="22"/>
          <w:szCs w:val="22"/>
        </w:rPr>
      </w:pPr>
      <w:r w:rsidRPr="004F0ECC">
        <w:rPr>
          <w:rFonts w:ascii="Arial" w:hAnsi="Arial" w:cs="Arial"/>
          <w:sz w:val="22"/>
          <w:szCs w:val="22"/>
        </w:rPr>
        <w:t>In design terms, the proposal is modest and sympathetic to its rural setting. With only limited new boundary treatments and the retention of key landscape features, the overall character of the area would remain largely unchanged. Any domestication arising from the garden extension would be well screened from public and wider landscape views, ensuring that the proposal sits comfortably within its surroundings.</w:t>
      </w:r>
    </w:p>
    <w:p w14:paraId="727C462E" w14:textId="77777777" w:rsidR="00E03EDD" w:rsidRDefault="00E03EDD" w:rsidP="00B341CC">
      <w:pPr>
        <w:spacing w:line="276" w:lineRule="auto"/>
        <w:jc w:val="both"/>
        <w:rPr>
          <w:rFonts w:ascii="Arial" w:hAnsi="Arial" w:cs="Arial"/>
          <w:i/>
          <w:iCs/>
          <w:sz w:val="22"/>
          <w:szCs w:val="22"/>
        </w:rPr>
      </w:pPr>
    </w:p>
    <w:p w14:paraId="249D5444"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42B66A6D" w14:textId="77777777" w:rsidR="00316C37" w:rsidRDefault="00316C37" w:rsidP="00B341CC">
      <w:pPr>
        <w:spacing w:line="276" w:lineRule="auto"/>
        <w:jc w:val="both"/>
        <w:rPr>
          <w:rFonts w:ascii="Arial" w:hAnsi="Arial" w:cs="Arial"/>
          <w:i/>
          <w:iCs/>
          <w:sz w:val="22"/>
          <w:szCs w:val="22"/>
        </w:rPr>
      </w:pPr>
    </w:p>
    <w:p w14:paraId="6B1DBA80" w14:textId="133F6093" w:rsidR="00E03EDD" w:rsidRPr="004F0ECC" w:rsidRDefault="004F0ECC" w:rsidP="00B341CC">
      <w:pPr>
        <w:spacing w:line="276" w:lineRule="auto"/>
        <w:jc w:val="both"/>
        <w:rPr>
          <w:rFonts w:ascii="Arial" w:hAnsi="Arial" w:cs="Arial"/>
          <w:sz w:val="22"/>
          <w:szCs w:val="22"/>
        </w:rPr>
      </w:pPr>
      <w:r w:rsidRPr="004F0ECC">
        <w:rPr>
          <w:rFonts w:ascii="Arial" w:hAnsi="Arial" w:cs="Arial"/>
          <w:sz w:val="22"/>
          <w:szCs w:val="22"/>
        </w:rPr>
        <w:t>The proposal acc</w:t>
      </w:r>
      <w:r>
        <w:rPr>
          <w:rFonts w:ascii="Arial" w:hAnsi="Arial" w:cs="Arial"/>
          <w:sz w:val="22"/>
          <w:szCs w:val="22"/>
        </w:rPr>
        <w:t>ords</w:t>
      </w:r>
      <w:r w:rsidRPr="004F0ECC">
        <w:rPr>
          <w:rFonts w:ascii="Arial" w:hAnsi="Arial" w:cs="Arial"/>
          <w:sz w:val="22"/>
          <w:szCs w:val="22"/>
        </w:rPr>
        <w:t xml:space="preserve"> with the requirements of CP </w:t>
      </w:r>
      <w:r w:rsidR="00CE0DF1">
        <w:rPr>
          <w:rFonts w:ascii="Arial" w:hAnsi="Arial" w:cs="Arial"/>
          <w:sz w:val="22"/>
          <w:szCs w:val="22"/>
        </w:rPr>
        <w:t xml:space="preserve">51 and </w:t>
      </w:r>
      <w:r w:rsidRPr="004F0ECC">
        <w:rPr>
          <w:rFonts w:ascii="Arial" w:hAnsi="Arial" w:cs="Arial"/>
          <w:sz w:val="22"/>
          <w:szCs w:val="22"/>
        </w:rPr>
        <w:t xml:space="preserve">57 of the WCS and relevant sections of the NPPF. </w:t>
      </w:r>
    </w:p>
    <w:p w14:paraId="581DB144" w14:textId="77777777" w:rsidR="00316C37" w:rsidRDefault="00316C37" w:rsidP="7D84FC5F">
      <w:pPr>
        <w:spacing w:line="276" w:lineRule="auto"/>
        <w:jc w:val="both"/>
        <w:rPr>
          <w:rFonts w:ascii="Arial" w:hAnsi="Arial" w:cs="Arial"/>
          <w:b/>
          <w:bCs/>
          <w:sz w:val="22"/>
          <w:szCs w:val="22"/>
        </w:rPr>
      </w:pPr>
    </w:p>
    <w:p w14:paraId="06265BAB" w14:textId="77777777" w:rsidR="00E03EDD" w:rsidRDefault="00E03EDD" w:rsidP="7D84FC5F">
      <w:pPr>
        <w:spacing w:line="276" w:lineRule="auto"/>
        <w:jc w:val="both"/>
        <w:rPr>
          <w:rFonts w:ascii="Arial" w:hAnsi="Arial" w:cs="Arial"/>
          <w:b/>
          <w:bCs/>
          <w:sz w:val="22"/>
          <w:szCs w:val="22"/>
        </w:rPr>
      </w:pPr>
    </w:p>
    <w:p w14:paraId="08975A0F"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3166A800"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A47C478"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3E48F979" w14:textId="77777777" w:rsidR="00D45219" w:rsidRPr="00336FA4" w:rsidRDefault="00D45219" w:rsidP="00D45219">
      <w:pPr>
        <w:spacing w:line="276" w:lineRule="auto"/>
        <w:jc w:val="both"/>
        <w:rPr>
          <w:rFonts w:ascii="Arial" w:hAnsi="Arial" w:cs="Arial"/>
          <w:i/>
          <w:iCs/>
          <w:color w:val="000000" w:themeColor="text1"/>
          <w:sz w:val="22"/>
          <w:szCs w:val="22"/>
        </w:rPr>
      </w:pPr>
    </w:p>
    <w:p w14:paraId="1097748C"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D5ECD51"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58F76794" w14:textId="1E5F1A69" w:rsid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These policies guide the assessment of amenity impacts</w:t>
      </w:r>
      <w:r w:rsidR="004F0ECC">
        <w:rPr>
          <w:rFonts w:ascii="Arial" w:hAnsi="Arial" w:cs="Arial"/>
          <w:color w:val="000000" w:themeColor="text1"/>
          <w:sz w:val="22"/>
          <w:szCs w:val="22"/>
        </w:rPr>
        <w:t>.</w:t>
      </w:r>
    </w:p>
    <w:p w14:paraId="24D2BFC7" w14:textId="77777777" w:rsidR="004F0ECC" w:rsidRDefault="004F0ECC" w:rsidP="00336FA4">
      <w:pPr>
        <w:spacing w:line="276" w:lineRule="auto"/>
        <w:jc w:val="both"/>
        <w:rPr>
          <w:rFonts w:ascii="Arial" w:hAnsi="Arial" w:cs="Arial"/>
          <w:color w:val="000000" w:themeColor="text1"/>
          <w:sz w:val="22"/>
          <w:szCs w:val="22"/>
        </w:rPr>
      </w:pPr>
    </w:p>
    <w:p w14:paraId="31BE3E19" w14:textId="162F24D0" w:rsidR="00316C37" w:rsidRDefault="004F0ECC"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Due to the nature of the proposals, and the positioning to the blind side of any nearby </w:t>
      </w:r>
      <w:r w:rsidR="0078715F">
        <w:rPr>
          <w:rFonts w:ascii="Arial" w:hAnsi="Arial" w:cs="Arial"/>
          <w:color w:val="000000" w:themeColor="text1"/>
          <w:sz w:val="22"/>
          <w:szCs w:val="22"/>
        </w:rPr>
        <w:t>neighbours</w:t>
      </w:r>
      <w:r>
        <w:rPr>
          <w:rFonts w:ascii="Arial" w:hAnsi="Arial" w:cs="Arial"/>
          <w:color w:val="000000" w:themeColor="text1"/>
          <w:sz w:val="22"/>
          <w:szCs w:val="22"/>
        </w:rPr>
        <w:t xml:space="preserve">, the proposal is not considered to give rise to any impacts which would </w:t>
      </w:r>
      <w:r w:rsidR="0078715F">
        <w:rPr>
          <w:rFonts w:ascii="Arial" w:hAnsi="Arial" w:cs="Arial"/>
          <w:color w:val="000000" w:themeColor="text1"/>
          <w:sz w:val="22"/>
          <w:szCs w:val="22"/>
        </w:rPr>
        <w:t xml:space="preserve">cause a negative effect on amenity. </w:t>
      </w:r>
    </w:p>
    <w:p w14:paraId="1202F48F" w14:textId="77777777" w:rsidR="0078715F" w:rsidRPr="0078715F" w:rsidRDefault="0078715F" w:rsidP="7D84FC5F">
      <w:pPr>
        <w:spacing w:line="276" w:lineRule="auto"/>
        <w:jc w:val="both"/>
        <w:rPr>
          <w:rFonts w:ascii="Arial" w:hAnsi="Arial" w:cs="Arial"/>
          <w:color w:val="000000" w:themeColor="text1"/>
          <w:sz w:val="22"/>
          <w:szCs w:val="22"/>
        </w:rPr>
      </w:pPr>
    </w:p>
    <w:p w14:paraId="6A61037F" w14:textId="77777777" w:rsidR="00E03EDD" w:rsidRDefault="00E03EDD" w:rsidP="7D84FC5F">
      <w:pPr>
        <w:spacing w:line="276" w:lineRule="auto"/>
        <w:jc w:val="both"/>
        <w:rPr>
          <w:rFonts w:ascii="Arial" w:hAnsi="Arial" w:cs="Arial"/>
          <w:b/>
          <w:bCs/>
          <w:sz w:val="22"/>
          <w:szCs w:val="22"/>
        </w:rPr>
      </w:pPr>
    </w:p>
    <w:p w14:paraId="26D004BE"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1552AC31"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1FA48C00"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069B9852" w14:textId="77777777" w:rsidR="003D5959" w:rsidRPr="000F2BDF" w:rsidRDefault="003D5959" w:rsidP="000F2BDF">
      <w:pPr>
        <w:spacing w:line="276" w:lineRule="auto"/>
        <w:jc w:val="both"/>
        <w:rPr>
          <w:rFonts w:ascii="Arial" w:hAnsi="Arial" w:cs="Arial"/>
          <w:sz w:val="22"/>
          <w:szCs w:val="22"/>
        </w:rPr>
      </w:pPr>
    </w:p>
    <w:p w14:paraId="1A2F3DBC"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216014C3"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7E0950E8"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4671CCD7"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16CC37FD" w14:textId="77777777" w:rsidR="003D5959" w:rsidRDefault="003D5959" w:rsidP="003D5959">
      <w:pPr>
        <w:spacing w:line="276" w:lineRule="auto"/>
        <w:ind w:left="720"/>
        <w:jc w:val="both"/>
        <w:rPr>
          <w:rFonts w:ascii="Arial" w:hAnsi="Arial" w:cs="Arial"/>
          <w:sz w:val="22"/>
          <w:szCs w:val="22"/>
        </w:rPr>
      </w:pPr>
    </w:p>
    <w:p w14:paraId="338C9D42"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3479B73B" w14:textId="77777777" w:rsidR="00994116" w:rsidRPr="000F2BDF" w:rsidRDefault="00994116" w:rsidP="003D5959">
      <w:pPr>
        <w:spacing w:line="276" w:lineRule="auto"/>
        <w:jc w:val="both"/>
        <w:rPr>
          <w:rFonts w:ascii="Arial" w:hAnsi="Arial" w:cs="Arial"/>
          <w:sz w:val="22"/>
          <w:szCs w:val="22"/>
        </w:rPr>
      </w:pPr>
    </w:p>
    <w:p w14:paraId="3C772C7F"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42F2EAB7"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7C233B81"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6EAEB993"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40122407" w14:textId="77777777" w:rsidR="003D5959" w:rsidRDefault="003D5959" w:rsidP="003D5959">
      <w:pPr>
        <w:spacing w:line="276" w:lineRule="auto"/>
        <w:jc w:val="both"/>
        <w:rPr>
          <w:rFonts w:ascii="Arial" w:hAnsi="Arial" w:cs="Arial"/>
          <w:sz w:val="22"/>
          <w:szCs w:val="22"/>
        </w:rPr>
      </w:pPr>
    </w:p>
    <w:p w14:paraId="12FD027A"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0F54C54F" w14:textId="77777777" w:rsidR="003D5959" w:rsidRDefault="003D5959" w:rsidP="003D5959">
      <w:pPr>
        <w:spacing w:line="276" w:lineRule="auto"/>
        <w:jc w:val="both"/>
        <w:rPr>
          <w:rFonts w:ascii="Arial" w:hAnsi="Arial" w:cs="Arial"/>
          <w:sz w:val="22"/>
          <w:szCs w:val="22"/>
        </w:rPr>
      </w:pPr>
    </w:p>
    <w:p w14:paraId="42222A03"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33B2856A" w14:textId="77777777" w:rsidR="00994116" w:rsidRPr="000F2BDF" w:rsidRDefault="00994116" w:rsidP="003D5959">
      <w:pPr>
        <w:spacing w:line="276" w:lineRule="auto"/>
        <w:jc w:val="both"/>
        <w:rPr>
          <w:rFonts w:ascii="Arial" w:hAnsi="Arial" w:cs="Arial"/>
          <w:sz w:val="22"/>
          <w:szCs w:val="22"/>
        </w:rPr>
      </w:pPr>
    </w:p>
    <w:p w14:paraId="62B5028E"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552FF3A0"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BA22C80" w14:textId="77777777" w:rsidR="00722BAC" w:rsidRDefault="00722BAC" w:rsidP="7D84FC5F">
      <w:pPr>
        <w:spacing w:line="276" w:lineRule="auto"/>
        <w:jc w:val="both"/>
        <w:rPr>
          <w:rFonts w:ascii="Arial" w:hAnsi="Arial" w:cs="Arial"/>
          <w:sz w:val="22"/>
          <w:szCs w:val="22"/>
        </w:rPr>
      </w:pPr>
    </w:p>
    <w:p w14:paraId="0791E925" w14:textId="77777777" w:rsidR="00EE6040"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3B5E7CE1" w14:textId="77777777" w:rsidR="00FF7BF0" w:rsidRDefault="00FF7BF0" w:rsidP="7D84FC5F">
      <w:pPr>
        <w:spacing w:line="276" w:lineRule="auto"/>
        <w:jc w:val="both"/>
        <w:rPr>
          <w:rFonts w:ascii="Arial" w:hAnsi="Arial" w:cs="Arial"/>
          <w:i/>
          <w:iCs/>
          <w:sz w:val="22"/>
          <w:szCs w:val="22"/>
        </w:rPr>
      </w:pPr>
    </w:p>
    <w:p w14:paraId="367FCCE4" w14:textId="37086E98" w:rsidR="000C2105" w:rsidRDefault="000C2105" w:rsidP="000C2105">
      <w:pPr>
        <w:spacing w:line="276" w:lineRule="auto"/>
        <w:jc w:val="both"/>
        <w:rPr>
          <w:rFonts w:ascii="Arial" w:hAnsi="Arial" w:cs="Arial"/>
          <w:sz w:val="22"/>
          <w:szCs w:val="22"/>
        </w:rPr>
      </w:pPr>
      <w:r w:rsidRPr="000C2105">
        <w:rPr>
          <w:rFonts w:ascii="Arial" w:hAnsi="Arial" w:cs="Arial"/>
          <w:sz w:val="22"/>
          <w:szCs w:val="22"/>
        </w:rPr>
        <w:t>The proposal is not expected to result in any significant harm to ecology or biodiversity. There are no records of protected species within the immediate vicinity of the site, nor does the land form part of a priority habitat. While the site lies within the 6</w:t>
      </w:r>
      <w:r w:rsidR="001256F7">
        <w:rPr>
          <w:rFonts w:ascii="Arial" w:hAnsi="Arial" w:cs="Arial"/>
          <w:sz w:val="22"/>
          <w:szCs w:val="22"/>
        </w:rPr>
        <w:t>.</w:t>
      </w:r>
      <w:r w:rsidRPr="000C2105">
        <w:rPr>
          <w:rFonts w:ascii="Arial" w:hAnsi="Arial" w:cs="Arial"/>
          <w:sz w:val="22"/>
          <w:szCs w:val="22"/>
        </w:rPr>
        <w:t>4km buffer zone of the Salisbury Plain SPA, the development does not involve any new residential units or intensification of occupation and would therefore not increase recreational pressure on the designated site. On this basis, the proposal can be screened out of requiring appropriate assessment under the Habitats Regulations.</w:t>
      </w:r>
    </w:p>
    <w:p w14:paraId="18803BB7" w14:textId="77777777" w:rsidR="000C2105" w:rsidRPr="000C2105" w:rsidRDefault="000C2105" w:rsidP="000C2105">
      <w:pPr>
        <w:spacing w:line="276" w:lineRule="auto"/>
        <w:jc w:val="both"/>
        <w:rPr>
          <w:rFonts w:ascii="Arial" w:hAnsi="Arial" w:cs="Arial"/>
          <w:sz w:val="22"/>
          <w:szCs w:val="22"/>
        </w:rPr>
      </w:pPr>
    </w:p>
    <w:p w14:paraId="5FE404DE" w14:textId="77777777" w:rsidR="000C2105" w:rsidRDefault="000C2105" w:rsidP="000C2105">
      <w:pPr>
        <w:spacing w:line="276" w:lineRule="auto"/>
        <w:jc w:val="both"/>
        <w:rPr>
          <w:rFonts w:ascii="Arial" w:hAnsi="Arial" w:cs="Arial"/>
          <w:sz w:val="22"/>
          <w:szCs w:val="22"/>
        </w:rPr>
      </w:pPr>
      <w:r w:rsidRPr="000C2105">
        <w:rPr>
          <w:rFonts w:ascii="Arial" w:hAnsi="Arial" w:cs="Arial"/>
          <w:sz w:val="22"/>
          <w:szCs w:val="22"/>
        </w:rPr>
        <w:t>No ecological features would be adversely affected, as the existing mature hedgerow along the southern and eastern boundaries would be retained, continuing to provide valuable habitat and a buffer between the garden area and the surrounding countryside. The proposal represents only a modest extension to an established residential curtilage, and it is not considered necessary to impose restrictions on external lighting in this instance, given that the development would not materially change the existing baseline or introduce lighting impacts beyond those already associated with the residential setting.</w:t>
      </w:r>
    </w:p>
    <w:p w14:paraId="5E95B0E5" w14:textId="77777777" w:rsidR="000C2105" w:rsidRPr="000C2105" w:rsidRDefault="000C2105" w:rsidP="000C2105">
      <w:pPr>
        <w:spacing w:line="276" w:lineRule="auto"/>
        <w:jc w:val="both"/>
        <w:rPr>
          <w:rFonts w:ascii="Arial" w:hAnsi="Arial" w:cs="Arial"/>
          <w:sz w:val="22"/>
          <w:szCs w:val="22"/>
        </w:rPr>
      </w:pPr>
    </w:p>
    <w:p w14:paraId="26BF09E0" w14:textId="499BA1C6" w:rsidR="00E03EDD" w:rsidRDefault="000C2105" w:rsidP="000C2105">
      <w:pPr>
        <w:spacing w:line="276" w:lineRule="auto"/>
        <w:jc w:val="both"/>
        <w:rPr>
          <w:rFonts w:ascii="Arial" w:hAnsi="Arial" w:cs="Arial"/>
          <w:sz w:val="22"/>
          <w:szCs w:val="22"/>
        </w:rPr>
      </w:pPr>
      <w:r w:rsidRPr="000C2105">
        <w:rPr>
          <w:rFonts w:ascii="Arial" w:hAnsi="Arial" w:cs="Arial"/>
          <w:sz w:val="22"/>
          <w:szCs w:val="22"/>
        </w:rPr>
        <w:t>In relation to Biodiversity Net Gain (BNG), it is noted that the applicant has referred to the de minimis exemption; however, the area of land proposed for change of use exceeds the 25sqm threshold and therefore does not technically qualify for exemption. Nevertheless, as no physical alteration of the existing habitat is proposed and the land will remain as it currently exists, the pre</w:t>
      </w:r>
      <w:r w:rsidRPr="000C2105">
        <w:rPr>
          <w:rFonts w:ascii="Cambria Math" w:hAnsi="Cambria Math" w:cs="Cambria Math"/>
          <w:sz w:val="22"/>
          <w:szCs w:val="22"/>
        </w:rPr>
        <w:t>‑</w:t>
      </w:r>
      <w:r w:rsidRPr="000C2105">
        <w:rPr>
          <w:rFonts w:ascii="Arial" w:hAnsi="Arial" w:cs="Arial"/>
          <w:sz w:val="22"/>
          <w:szCs w:val="22"/>
        </w:rPr>
        <w:t>development habitat value would be unchanged. In this context, it is not considered necessary to request a BNG metric calculation, as the proposal would not give rise to a loss of habitat or measurable ecological impact.</w:t>
      </w:r>
    </w:p>
    <w:p w14:paraId="4EE7889E" w14:textId="77777777" w:rsidR="00AD689D" w:rsidRDefault="00AD689D" w:rsidP="000C2105">
      <w:pPr>
        <w:spacing w:line="276" w:lineRule="auto"/>
        <w:jc w:val="both"/>
        <w:rPr>
          <w:rFonts w:ascii="Arial" w:hAnsi="Arial" w:cs="Arial"/>
          <w:i/>
          <w:iCs/>
          <w:color w:val="FF0000"/>
          <w:sz w:val="22"/>
          <w:szCs w:val="22"/>
        </w:rPr>
      </w:pPr>
    </w:p>
    <w:p w14:paraId="09EA8FB3"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069777C9" w14:textId="77777777" w:rsidR="00316C37" w:rsidRDefault="00316C37" w:rsidP="7D84FC5F">
      <w:pPr>
        <w:spacing w:line="276" w:lineRule="auto"/>
        <w:jc w:val="both"/>
        <w:rPr>
          <w:rFonts w:ascii="Arial" w:hAnsi="Arial" w:cs="Arial"/>
          <w:i/>
          <w:iCs/>
          <w:color w:val="FF0000"/>
          <w:sz w:val="22"/>
          <w:szCs w:val="22"/>
        </w:rPr>
      </w:pPr>
    </w:p>
    <w:p w14:paraId="7BDAFE82" w14:textId="43709598" w:rsidR="00E03EDD" w:rsidRPr="00AD689D" w:rsidRDefault="00AD689D" w:rsidP="7D84FC5F">
      <w:pPr>
        <w:spacing w:line="276" w:lineRule="auto"/>
        <w:jc w:val="both"/>
        <w:rPr>
          <w:rFonts w:ascii="Arial" w:hAnsi="Arial" w:cs="Arial"/>
          <w:sz w:val="22"/>
          <w:szCs w:val="22"/>
        </w:rPr>
      </w:pPr>
      <w:r w:rsidRPr="00AD689D">
        <w:rPr>
          <w:rFonts w:ascii="Arial" w:hAnsi="Arial" w:cs="Arial"/>
          <w:sz w:val="22"/>
          <w:szCs w:val="22"/>
        </w:rPr>
        <w:t>Accordingly, the proposal is considered to comply with Core Policy 50 of the Wiltshire Core Strategy, as it would not result in harm to ecological interests and retains the site’s existing habitat value.</w:t>
      </w:r>
    </w:p>
    <w:p w14:paraId="0B7467D4" w14:textId="77777777" w:rsidR="0002128A" w:rsidRDefault="0002128A" w:rsidP="7D84FC5F">
      <w:pPr>
        <w:spacing w:line="276" w:lineRule="auto"/>
        <w:jc w:val="both"/>
        <w:rPr>
          <w:rFonts w:ascii="Arial" w:hAnsi="Arial" w:cs="Arial"/>
          <w:i/>
          <w:iCs/>
          <w:color w:val="FF0000"/>
          <w:sz w:val="22"/>
          <w:szCs w:val="22"/>
        </w:rPr>
      </w:pPr>
    </w:p>
    <w:p w14:paraId="0BBFF900" w14:textId="77777777"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5EC02554" w14:textId="77777777" w:rsidR="00532780" w:rsidRPr="00532780" w:rsidRDefault="00532780" w:rsidP="7D84FC5F">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Policy Context</w:t>
      </w:r>
    </w:p>
    <w:p w14:paraId="0C64E76D" w14:textId="77777777" w:rsidR="009613A4" w:rsidRPr="009613A4" w:rsidRDefault="009613A4" w:rsidP="00883BF4">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Core Policy 67 of the Wiltshire Core Strategy and NPPF paragraphs 170–182 require:</w:t>
      </w:r>
    </w:p>
    <w:p w14:paraId="160F0742"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59962D77"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715B1ACD"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7634520B" w14:textId="77777777" w:rsidR="009613A4" w:rsidRDefault="009613A4" w:rsidP="7D84FC5F">
      <w:pPr>
        <w:spacing w:line="276" w:lineRule="auto"/>
        <w:jc w:val="both"/>
        <w:rPr>
          <w:rFonts w:ascii="Arial" w:hAnsi="Arial" w:cs="Arial"/>
          <w:i/>
          <w:iCs/>
          <w:color w:val="FF0000"/>
          <w:sz w:val="22"/>
          <w:szCs w:val="22"/>
        </w:rPr>
      </w:pPr>
    </w:p>
    <w:p w14:paraId="503C5885" w14:textId="77777777" w:rsidR="003440E3" w:rsidRDefault="003440E3" w:rsidP="7D84FC5F">
      <w:pPr>
        <w:spacing w:line="276" w:lineRule="auto"/>
        <w:jc w:val="both"/>
        <w:rPr>
          <w:rFonts w:ascii="Arial" w:hAnsi="Arial" w:cs="Arial"/>
          <w:i/>
          <w:iCs/>
          <w:color w:val="000000" w:themeColor="text1"/>
          <w:sz w:val="22"/>
          <w:szCs w:val="22"/>
        </w:rPr>
      </w:pPr>
      <w:r w:rsidRPr="003440E3">
        <w:rPr>
          <w:rFonts w:ascii="Arial" w:hAnsi="Arial" w:cs="Arial"/>
          <w:i/>
          <w:iCs/>
          <w:color w:val="000000" w:themeColor="text1"/>
          <w:sz w:val="22"/>
          <w:szCs w:val="22"/>
        </w:rPr>
        <w:t xml:space="preserve">Assessment </w:t>
      </w:r>
    </w:p>
    <w:p w14:paraId="7D638A15" w14:textId="77777777" w:rsidR="00AD689D" w:rsidRDefault="00AD689D" w:rsidP="7D84FC5F">
      <w:pPr>
        <w:spacing w:line="276" w:lineRule="auto"/>
        <w:jc w:val="both"/>
        <w:rPr>
          <w:rFonts w:ascii="Arial" w:hAnsi="Arial" w:cs="Arial"/>
          <w:i/>
          <w:iCs/>
          <w:color w:val="000000" w:themeColor="text1"/>
          <w:sz w:val="22"/>
          <w:szCs w:val="22"/>
        </w:rPr>
      </w:pPr>
    </w:p>
    <w:p w14:paraId="0EE73EE7" w14:textId="77777777" w:rsidR="00A66ADF" w:rsidRDefault="00A66ADF" w:rsidP="00A66ADF">
      <w:pPr>
        <w:spacing w:line="276" w:lineRule="auto"/>
        <w:jc w:val="both"/>
        <w:rPr>
          <w:rFonts w:ascii="Arial" w:hAnsi="Arial" w:cs="Arial"/>
          <w:color w:val="000000" w:themeColor="text1"/>
          <w:sz w:val="22"/>
          <w:szCs w:val="22"/>
        </w:rPr>
      </w:pPr>
      <w:r w:rsidRPr="00A66ADF">
        <w:rPr>
          <w:rFonts w:ascii="Arial" w:hAnsi="Arial" w:cs="Arial"/>
          <w:color w:val="000000" w:themeColor="text1"/>
          <w:sz w:val="22"/>
          <w:szCs w:val="22"/>
        </w:rPr>
        <w:t>Concerns have been raised by the Parish Council regarding occasional flooding along the nearby Public Right of Way (</w:t>
      </w:r>
      <w:proofErr w:type="spellStart"/>
      <w:r w:rsidRPr="00A66ADF">
        <w:rPr>
          <w:rFonts w:ascii="Arial" w:hAnsi="Arial" w:cs="Arial"/>
          <w:color w:val="000000" w:themeColor="text1"/>
          <w:sz w:val="22"/>
          <w:szCs w:val="22"/>
        </w:rPr>
        <w:t>PRoW</w:t>
      </w:r>
      <w:proofErr w:type="spellEnd"/>
      <w:r w:rsidRPr="00A66ADF">
        <w:rPr>
          <w:rFonts w:ascii="Arial" w:hAnsi="Arial" w:cs="Arial"/>
          <w:color w:val="000000" w:themeColor="text1"/>
          <w:sz w:val="22"/>
          <w:szCs w:val="22"/>
        </w:rPr>
        <w:t>) and the suggestion that this may be linked to inadequate clearance of a ditch within or adjacent to the application site. The maintenance of private ditches is a civil matter between the landowner and affected parties and falls outside the remit of the planning process.</w:t>
      </w:r>
    </w:p>
    <w:p w14:paraId="59BE6B48" w14:textId="77777777" w:rsidR="00A66ADF" w:rsidRPr="00A66ADF" w:rsidRDefault="00A66ADF" w:rsidP="00A66ADF">
      <w:pPr>
        <w:spacing w:line="276" w:lineRule="auto"/>
        <w:jc w:val="both"/>
        <w:rPr>
          <w:rFonts w:ascii="Arial" w:hAnsi="Arial" w:cs="Arial"/>
          <w:color w:val="000000" w:themeColor="text1"/>
          <w:sz w:val="22"/>
          <w:szCs w:val="22"/>
        </w:rPr>
      </w:pPr>
    </w:p>
    <w:p w14:paraId="5864F00B" w14:textId="77777777" w:rsidR="00A66ADF" w:rsidRDefault="00A66ADF" w:rsidP="00A66ADF">
      <w:pPr>
        <w:spacing w:line="276" w:lineRule="auto"/>
        <w:jc w:val="both"/>
        <w:rPr>
          <w:rFonts w:ascii="Arial" w:hAnsi="Arial" w:cs="Arial"/>
          <w:color w:val="000000" w:themeColor="text1"/>
          <w:sz w:val="22"/>
          <w:szCs w:val="22"/>
        </w:rPr>
      </w:pPr>
      <w:r w:rsidRPr="00A66ADF">
        <w:rPr>
          <w:rFonts w:ascii="Arial" w:hAnsi="Arial" w:cs="Arial"/>
          <w:color w:val="000000" w:themeColor="text1"/>
          <w:sz w:val="22"/>
          <w:szCs w:val="22"/>
        </w:rPr>
        <w:t>In assessing flood risk in accordance with Core Policy 67, it is noted that the application site and neighbouring properties lie within an area with some susceptibility to groundwater flooding. However, the proposal involves no operational development and no alterations to land levels, surfacing, drainage arrangements, or built form. As such, the development would not increase surface water run</w:t>
      </w:r>
      <w:r w:rsidRPr="00A66ADF">
        <w:rPr>
          <w:rFonts w:ascii="Cambria Math" w:hAnsi="Cambria Math" w:cs="Cambria Math"/>
          <w:color w:val="000000" w:themeColor="text1"/>
          <w:sz w:val="22"/>
          <w:szCs w:val="22"/>
        </w:rPr>
        <w:t>‑</w:t>
      </w:r>
      <w:r w:rsidRPr="00A66ADF">
        <w:rPr>
          <w:rFonts w:ascii="Arial" w:hAnsi="Arial" w:cs="Arial"/>
          <w:color w:val="000000" w:themeColor="text1"/>
          <w:sz w:val="22"/>
          <w:szCs w:val="22"/>
        </w:rPr>
        <w:t>off, impede natural drainage patterns, or exacerbate existing localised flooding issues.</w:t>
      </w:r>
    </w:p>
    <w:p w14:paraId="57F785BA" w14:textId="77777777" w:rsidR="00A66ADF" w:rsidRPr="00A66ADF" w:rsidRDefault="00A66ADF" w:rsidP="00A66ADF">
      <w:pPr>
        <w:spacing w:line="276" w:lineRule="auto"/>
        <w:jc w:val="both"/>
        <w:rPr>
          <w:rFonts w:ascii="Arial" w:hAnsi="Arial" w:cs="Arial"/>
          <w:color w:val="000000" w:themeColor="text1"/>
          <w:sz w:val="22"/>
          <w:szCs w:val="22"/>
        </w:rPr>
      </w:pPr>
    </w:p>
    <w:p w14:paraId="67E49528" w14:textId="543BAA0A" w:rsidR="00A66ADF" w:rsidRDefault="00A66ADF" w:rsidP="00A66ADF">
      <w:pPr>
        <w:spacing w:line="276" w:lineRule="auto"/>
        <w:jc w:val="both"/>
        <w:rPr>
          <w:rFonts w:ascii="Arial" w:hAnsi="Arial" w:cs="Arial"/>
          <w:color w:val="000000" w:themeColor="text1"/>
          <w:sz w:val="22"/>
          <w:szCs w:val="22"/>
        </w:rPr>
      </w:pPr>
      <w:r w:rsidRPr="00A66ADF">
        <w:rPr>
          <w:rFonts w:ascii="Arial" w:hAnsi="Arial" w:cs="Arial"/>
          <w:color w:val="000000" w:themeColor="text1"/>
          <w:sz w:val="22"/>
          <w:szCs w:val="22"/>
        </w:rPr>
        <w:t>During the case officer’s site visit, it was observed that water was flowing onto the footpath from a nearby watercourse</w:t>
      </w:r>
      <w:r>
        <w:rPr>
          <w:rFonts w:ascii="Arial" w:hAnsi="Arial" w:cs="Arial"/>
          <w:color w:val="000000" w:themeColor="text1"/>
          <w:sz w:val="22"/>
          <w:szCs w:val="22"/>
        </w:rPr>
        <w:t xml:space="preserve"> (see image b</w:t>
      </w:r>
      <w:r w:rsidR="001256F7">
        <w:rPr>
          <w:rFonts w:ascii="Arial" w:hAnsi="Arial" w:cs="Arial"/>
          <w:color w:val="000000" w:themeColor="text1"/>
          <w:sz w:val="22"/>
          <w:szCs w:val="22"/>
        </w:rPr>
        <w:t>e</w:t>
      </w:r>
      <w:r>
        <w:rPr>
          <w:rFonts w:ascii="Arial" w:hAnsi="Arial" w:cs="Arial"/>
          <w:color w:val="000000" w:themeColor="text1"/>
          <w:sz w:val="22"/>
          <w:szCs w:val="22"/>
        </w:rPr>
        <w:t>low)</w:t>
      </w:r>
      <w:r w:rsidRPr="00A66ADF">
        <w:rPr>
          <w:rFonts w:ascii="Arial" w:hAnsi="Arial" w:cs="Arial"/>
          <w:color w:val="000000" w:themeColor="text1"/>
          <w:sz w:val="22"/>
          <w:szCs w:val="22"/>
        </w:rPr>
        <w:t>, indicating that the issue is likely to be a naturally occurring hydrological process unrelated to the proposed change of use. As the proposal would not alter existing ground conditions or hydrology, it would not contribute to or worsen this situation.</w:t>
      </w:r>
    </w:p>
    <w:p w14:paraId="0F561F44" w14:textId="77777777" w:rsidR="00A66ADF" w:rsidRDefault="00A66ADF" w:rsidP="00A66ADF">
      <w:pPr>
        <w:spacing w:line="276" w:lineRule="auto"/>
        <w:jc w:val="both"/>
        <w:rPr>
          <w:rFonts w:ascii="Arial" w:hAnsi="Arial" w:cs="Arial"/>
          <w:color w:val="000000" w:themeColor="text1"/>
          <w:sz w:val="22"/>
          <w:szCs w:val="22"/>
        </w:rPr>
      </w:pPr>
    </w:p>
    <w:p w14:paraId="0A437657" w14:textId="0E7F711A" w:rsidR="00E03EDD" w:rsidRDefault="00A66ADF" w:rsidP="7D84FC5F">
      <w:pPr>
        <w:spacing w:line="276" w:lineRule="auto"/>
        <w:jc w:val="both"/>
        <w:rPr>
          <w:rFonts w:ascii="Arial" w:hAnsi="Arial" w:cs="Arial"/>
          <w:color w:val="000000" w:themeColor="text1"/>
          <w:sz w:val="22"/>
          <w:szCs w:val="22"/>
        </w:rPr>
      </w:pPr>
      <w:r>
        <w:rPr>
          <w:noProof/>
          <w14:ligatures w14:val="standardContextual"/>
        </w:rPr>
        <w:drawing>
          <wp:inline distT="0" distB="0" distL="0" distR="0" wp14:anchorId="1825D5C3" wp14:editId="014AA9B4">
            <wp:extent cx="5731510" cy="4060190"/>
            <wp:effectExtent l="0" t="0" r="2540" b="0"/>
            <wp:docPr id="200784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84265" name=""/>
                    <pic:cNvPicPr/>
                  </pic:nvPicPr>
                  <pic:blipFill>
                    <a:blip r:embed="rId8"/>
                    <a:stretch>
                      <a:fillRect/>
                    </a:stretch>
                  </pic:blipFill>
                  <pic:spPr>
                    <a:xfrm>
                      <a:off x="0" y="0"/>
                      <a:ext cx="5731510" cy="4060190"/>
                    </a:xfrm>
                    <a:prstGeom prst="rect">
                      <a:avLst/>
                    </a:prstGeom>
                  </pic:spPr>
                </pic:pic>
              </a:graphicData>
            </a:graphic>
          </wp:inline>
        </w:drawing>
      </w:r>
    </w:p>
    <w:p w14:paraId="2FE21949" w14:textId="77777777" w:rsidR="00A66ADF" w:rsidRPr="00A66ADF" w:rsidRDefault="00A66ADF" w:rsidP="7D84FC5F">
      <w:pPr>
        <w:spacing w:line="276" w:lineRule="auto"/>
        <w:jc w:val="both"/>
        <w:rPr>
          <w:rFonts w:ascii="Arial" w:hAnsi="Arial" w:cs="Arial"/>
          <w:color w:val="000000" w:themeColor="text1"/>
          <w:sz w:val="22"/>
          <w:szCs w:val="22"/>
        </w:rPr>
      </w:pPr>
    </w:p>
    <w:p w14:paraId="591FAE69"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2F72E4F0" w14:textId="77777777" w:rsidR="00A55DA1" w:rsidRDefault="00A55DA1" w:rsidP="7D84FC5F">
      <w:pPr>
        <w:spacing w:line="276" w:lineRule="auto"/>
        <w:jc w:val="both"/>
        <w:rPr>
          <w:rFonts w:ascii="Arial" w:hAnsi="Arial" w:cs="Arial"/>
          <w:i/>
          <w:iCs/>
          <w:color w:val="FF0000"/>
          <w:sz w:val="22"/>
          <w:szCs w:val="22"/>
        </w:rPr>
      </w:pPr>
    </w:p>
    <w:p w14:paraId="6DF2DCFA" w14:textId="62B9753B" w:rsidR="00EA523D" w:rsidRPr="00A66ADF" w:rsidRDefault="00A66ADF" w:rsidP="7D84FC5F">
      <w:pPr>
        <w:spacing w:line="276" w:lineRule="auto"/>
        <w:jc w:val="both"/>
        <w:rPr>
          <w:rFonts w:ascii="Arial" w:hAnsi="Arial" w:cs="Arial"/>
          <w:sz w:val="22"/>
          <w:szCs w:val="22"/>
        </w:rPr>
      </w:pPr>
      <w:r w:rsidRPr="00A66ADF">
        <w:rPr>
          <w:rFonts w:ascii="Arial" w:hAnsi="Arial" w:cs="Arial"/>
          <w:sz w:val="22"/>
          <w:szCs w:val="22"/>
        </w:rPr>
        <w:t>Accordingly, the proposal raises no concerns in respect of flood risk and is considered to comply with Core Policy 67 of the Wiltshire Core Strategy.</w:t>
      </w:r>
    </w:p>
    <w:p w14:paraId="5AA2174F" w14:textId="77777777" w:rsidR="00F1263F" w:rsidRDefault="00F1263F" w:rsidP="7D84FC5F">
      <w:pPr>
        <w:spacing w:line="276" w:lineRule="auto"/>
        <w:jc w:val="both"/>
        <w:rPr>
          <w:rFonts w:ascii="Arial" w:hAnsi="Arial" w:cs="Arial"/>
          <w:i/>
          <w:iCs/>
          <w:color w:val="FF0000"/>
          <w:sz w:val="22"/>
          <w:szCs w:val="22"/>
        </w:rPr>
      </w:pPr>
    </w:p>
    <w:p w14:paraId="17651F2C"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1D699CEC" w14:textId="77777777" w:rsidR="00053F09" w:rsidRPr="00053F09" w:rsidRDefault="00053F09" w:rsidP="00053F09">
      <w:pPr>
        <w:spacing w:line="276" w:lineRule="auto"/>
        <w:jc w:val="both"/>
        <w:rPr>
          <w:rFonts w:ascii="Arial" w:hAnsi="Arial" w:cs="Arial"/>
          <w:sz w:val="22"/>
          <w:szCs w:val="22"/>
        </w:rPr>
      </w:pPr>
      <w:r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77B5DD93" w14:textId="77777777" w:rsidR="00053F09" w:rsidRPr="00053F09" w:rsidRDefault="00053F09" w:rsidP="00053F09">
      <w:pPr>
        <w:spacing w:line="276" w:lineRule="auto"/>
        <w:jc w:val="both"/>
        <w:rPr>
          <w:rFonts w:ascii="Arial" w:hAnsi="Arial" w:cs="Arial"/>
          <w:sz w:val="22"/>
          <w:szCs w:val="22"/>
        </w:rPr>
      </w:pPr>
    </w:p>
    <w:p w14:paraId="17025A6C"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2" w:name="_Hlk118712062"/>
      <w:r w:rsidRPr="00053F09">
        <w:rPr>
          <w:rFonts w:ascii="Arial" w:hAnsi="Arial" w:cs="Arial"/>
          <w:sz w:val="22"/>
          <w:szCs w:val="22"/>
        </w:rPr>
        <w:t>that protect areas or assets of particular importance</w:t>
      </w:r>
      <w:bookmarkEnd w:id="2"/>
      <w:r w:rsidRPr="00053F09">
        <w:rPr>
          <w:rFonts w:ascii="Arial" w:hAnsi="Arial" w:cs="Arial"/>
          <w:sz w:val="22"/>
          <w:szCs w:val="22"/>
        </w:rPr>
        <w:t xml:space="preserve"> provides a clear reason for refusing development proposed; or</w:t>
      </w:r>
    </w:p>
    <w:p w14:paraId="5053AB30"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t>
      </w:r>
      <w:proofErr w:type="gramStart"/>
      <w:r w:rsidRPr="00053F09">
        <w:rPr>
          <w:rFonts w:ascii="Arial" w:hAnsi="Arial" w:cs="Arial"/>
          <w:sz w:val="22"/>
          <w:szCs w:val="22"/>
        </w:rPr>
        <w:t>whole;</w:t>
      </w:r>
      <w:proofErr w:type="gramEnd"/>
      <w:r w:rsidRPr="00053F09">
        <w:rPr>
          <w:rFonts w:ascii="Arial" w:hAnsi="Arial" w:cs="Arial"/>
          <w:sz w:val="22"/>
          <w:szCs w:val="22"/>
        </w:rPr>
        <w:t xml:space="preserve"> </w:t>
      </w:r>
    </w:p>
    <w:p w14:paraId="3DEF6BD7" w14:textId="77777777" w:rsidR="007F548E" w:rsidRDefault="007F548E" w:rsidP="008B0B16">
      <w:pPr>
        <w:spacing w:line="276" w:lineRule="auto"/>
        <w:jc w:val="both"/>
        <w:rPr>
          <w:rFonts w:ascii="Arial" w:hAnsi="Arial" w:cs="Arial"/>
          <w:sz w:val="22"/>
          <w:szCs w:val="22"/>
        </w:rPr>
      </w:pPr>
    </w:p>
    <w:p w14:paraId="2508FC56" w14:textId="7777777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64C531ED" w14:textId="77777777" w:rsidR="008B0B16" w:rsidRPr="0080760A" w:rsidRDefault="008B0B16" w:rsidP="008B0B16">
      <w:pPr>
        <w:spacing w:line="276" w:lineRule="auto"/>
        <w:jc w:val="both"/>
        <w:rPr>
          <w:rFonts w:ascii="Arial" w:hAnsi="Arial" w:cs="Arial"/>
          <w:sz w:val="22"/>
          <w:szCs w:val="22"/>
        </w:rPr>
      </w:pPr>
    </w:p>
    <w:p w14:paraId="7C194442" w14:textId="2C987EC9"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w:t>
      </w:r>
      <w:r w:rsidRPr="00A66ADF">
        <w:rPr>
          <w:rFonts w:ascii="Arial" w:hAnsi="Arial" w:cs="Arial"/>
          <w:sz w:val="22"/>
          <w:szCs w:val="22"/>
        </w:rPr>
        <w:t xml:space="preserve">of design, scale, residential amenity, landscape, flood risk and drainage, </w:t>
      </w:r>
      <w:r w:rsidR="00A66ADF" w:rsidRPr="00A66ADF">
        <w:rPr>
          <w:rFonts w:ascii="Arial" w:hAnsi="Arial" w:cs="Arial"/>
          <w:sz w:val="22"/>
          <w:szCs w:val="22"/>
        </w:rPr>
        <w:t xml:space="preserve">and </w:t>
      </w:r>
      <w:r w:rsidRPr="00A66ADF">
        <w:rPr>
          <w:rFonts w:ascii="Arial" w:hAnsi="Arial" w:cs="Arial"/>
          <w:sz w:val="22"/>
          <w:szCs w:val="22"/>
        </w:rPr>
        <w:t>ecology and biodiversity</w:t>
      </w:r>
      <w:r w:rsidR="00A66ADF" w:rsidRPr="00A66ADF">
        <w:rPr>
          <w:rFonts w:ascii="Arial" w:hAnsi="Arial" w:cs="Arial"/>
          <w:sz w:val="22"/>
          <w:szCs w:val="22"/>
        </w:rPr>
        <w:t>.</w:t>
      </w:r>
    </w:p>
    <w:p w14:paraId="609BB59C" w14:textId="77777777" w:rsidR="008B0B16" w:rsidRPr="0080760A" w:rsidRDefault="008B0B16" w:rsidP="008B0B16">
      <w:pPr>
        <w:spacing w:line="276" w:lineRule="auto"/>
        <w:jc w:val="both"/>
        <w:rPr>
          <w:rFonts w:ascii="Arial" w:hAnsi="Arial" w:cs="Arial"/>
          <w:sz w:val="22"/>
          <w:szCs w:val="22"/>
        </w:rPr>
      </w:pPr>
    </w:p>
    <w:p w14:paraId="5092FDD5"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3220BE41" w14:textId="77777777" w:rsidR="0080760A" w:rsidRDefault="0080760A" w:rsidP="00943755">
      <w:pPr>
        <w:spacing w:line="276" w:lineRule="auto"/>
        <w:jc w:val="both"/>
        <w:rPr>
          <w:rFonts w:ascii="Arial" w:hAnsi="Arial" w:cs="Arial"/>
          <w:sz w:val="22"/>
          <w:szCs w:val="22"/>
        </w:rPr>
      </w:pPr>
    </w:p>
    <w:p w14:paraId="0778B948" w14:textId="77777777" w:rsidR="00942BFA" w:rsidRPr="00942BFA" w:rsidRDefault="00942BFA" w:rsidP="00942BFA">
      <w:pPr>
        <w:spacing w:line="276" w:lineRule="auto"/>
        <w:jc w:val="both"/>
        <w:rPr>
          <w:rFonts w:ascii="Arial" w:hAnsi="Arial" w:cs="Arial"/>
          <w:color w:val="000000" w:themeColor="text1"/>
          <w:sz w:val="22"/>
          <w:szCs w:val="22"/>
        </w:rPr>
      </w:pPr>
    </w:p>
    <w:p w14:paraId="20BFACC5" w14:textId="4AECB2E2" w:rsidR="00942BFA" w:rsidRDefault="00942BFA" w:rsidP="00311803">
      <w:pPr>
        <w:spacing w:line="276" w:lineRule="auto"/>
        <w:jc w:val="both"/>
        <w:rPr>
          <w:rFonts w:ascii="Arial" w:hAnsi="Arial" w:cs="Arial"/>
          <w:b/>
          <w:bCs/>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311803">
        <w:rPr>
          <w:rFonts w:ascii="Arial" w:hAnsi="Arial" w:cs="Arial"/>
          <w:b/>
          <w:bCs/>
          <w:color w:val="000000" w:themeColor="text1"/>
          <w:sz w:val="22"/>
          <w:szCs w:val="22"/>
        </w:rPr>
        <w:t>.</w:t>
      </w:r>
    </w:p>
    <w:p w14:paraId="57314F75" w14:textId="77777777" w:rsidR="00DC5A4D" w:rsidRDefault="00DC5A4D" w:rsidP="00311803">
      <w:pPr>
        <w:spacing w:line="276" w:lineRule="auto"/>
        <w:jc w:val="both"/>
        <w:rPr>
          <w:rFonts w:ascii="Arial" w:hAnsi="Arial" w:cs="Arial"/>
          <w:b/>
          <w:bCs/>
          <w:color w:val="000000" w:themeColor="text1"/>
          <w:sz w:val="22"/>
          <w:szCs w:val="22"/>
        </w:rPr>
      </w:pPr>
    </w:p>
    <w:p w14:paraId="57AF61A3" w14:textId="77777777" w:rsidR="00790705" w:rsidRPr="00942BFA" w:rsidRDefault="00790705" w:rsidP="00311803">
      <w:pPr>
        <w:spacing w:line="276" w:lineRule="auto"/>
        <w:jc w:val="both"/>
        <w:rPr>
          <w:rFonts w:ascii="Arial" w:hAnsi="Arial" w:cs="Arial"/>
          <w:i/>
          <w:iCs/>
          <w:color w:val="ED0000"/>
          <w:sz w:val="22"/>
          <w:szCs w:val="22"/>
        </w:rPr>
      </w:pPr>
    </w:p>
    <w:p w14:paraId="7453B63D" w14:textId="77777777" w:rsidR="00942BFA" w:rsidRPr="00942BFA" w:rsidRDefault="003E40FF"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6" style="width:8in;height:0" o:hrpct="0" o:hralign="center" o:hrstd="t" o:hrnoshade="t" o:hr="t" fillcolor="#424242" stroked="f"/>
        </w:pict>
      </w:r>
    </w:p>
    <w:p w14:paraId="6D45732B"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F50517"/>
    <w:multiLevelType w:val="hybridMultilevel"/>
    <w:tmpl w:val="ACC0B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0"/>
  </w:num>
  <w:num w:numId="3" w16cid:durableId="1037051835">
    <w:abstractNumId w:val="35"/>
  </w:num>
  <w:num w:numId="4" w16cid:durableId="2085175374">
    <w:abstractNumId w:val="14"/>
  </w:num>
  <w:num w:numId="5" w16cid:durableId="1488207918">
    <w:abstractNumId w:val="31"/>
  </w:num>
  <w:num w:numId="6" w16cid:durableId="1793137108">
    <w:abstractNumId w:val="22"/>
  </w:num>
  <w:num w:numId="7" w16cid:durableId="509217491">
    <w:abstractNumId w:val="32"/>
  </w:num>
  <w:num w:numId="8" w16cid:durableId="134420376">
    <w:abstractNumId w:val="39"/>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6"/>
  </w:num>
  <w:num w:numId="15" w16cid:durableId="287931387">
    <w:abstractNumId w:val="38"/>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4"/>
  </w:num>
  <w:num w:numId="24" w16cid:durableId="1823306521">
    <w:abstractNumId w:val="25"/>
  </w:num>
  <w:num w:numId="25" w16cid:durableId="1663895656">
    <w:abstractNumId w:val="11"/>
  </w:num>
  <w:num w:numId="26" w16cid:durableId="1750425246">
    <w:abstractNumId w:val="37"/>
  </w:num>
  <w:num w:numId="27" w16cid:durableId="1619068546">
    <w:abstractNumId w:val="15"/>
  </w:num>
  <w:num w:numId="28" w16cid:durableId="1460490708">
    <w:abstractNumId w:val="27"/>
  </w:num>
  <w:num w:numId="29" w16cid:durableId="6713544">
    <w:abstractNumId w:val="46"/>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0"/>
  </w:num>
  <w:num w:numId="35" w16cid:durableId="2039310770">
    <w:abstractNumId w:val="42"/>
  </w:num>
  <w:num w:numId="36" w16cid:durableId="1034232417">
    <w:abstractNumId w:val="7"/>
  </w:num>
  <w:num w:numId="37" w16cid:durableId="2062092020">
    <w:abstractNumId w:val="43"/>
  </w:num>
  <w:num w:numId="38" w16cid:durableId="1933783146">
    <w:abstractNumId w:val="3"/>
  </w:num>
  <w:num w:numId="39" w16cid:durableId="1669286882">
    <w:abstractNumId w:val="29"/>
  </w:num>
  <w:num w:numId="40" w16cid:durableId="1237977669">
    <w:abstractNumId w:val="18"/>
  </w:num>
  <w:num w:numId="41" w16cid:durableId="827013789">
    <w:abstractNumId w:val="28"/>
  </w:num>
  <w:num w:numId="42" w16cid:durableId="1451242110">
    <w:abstractNumId w:val="23"/>
  </w:num>
  <w:num w:numId="43" w16cid:durableId="2004117202">
    <w:abstractNumId w:val="33"/>
  </w:num>
  <w:num w:numId="44" w16cid:durableId="2020037795">
    <w:abstractNumId w:val="45"/>
  </w:num>
  <w:num w:numId="45" w16cid:durableId="2053261774">
    <w:abstractNumId w:val="41"/>
  </w:num>
  <w:num w:numId="46" w16cid:durableId="788477969">
    <w:abstractNumId w:val="44"/>
  </w:num>
  <w:num w:numId="47" w16cid:durableId="2053916891">
    <w:abstractNumId w:val="2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43528"/>
    <w:rsid w:val="0004756B"/>
    <w:rsid w:val="00051208"/>
    <w:rsid w:val="00053F09"/>
    <w:rsid w:val="00061168"/>
    <w:rsid w:val="0006523B"/>
    <w:rsid w:val="00067BEE"/>
    <w:rsid w:val="0007377C"/>
    <w:rsid w:val="00097010"/>
    <w:rsid w:val="000A78E4"/>
    <w:rsid w:val="000B4E91"/>
    <w:rsid w:val="000C0D1A"/>
    <w:rsid w:val="000C2105"/>
    <w:rsid w:val="000C773F"/>
    <w:rsid w:val="000D0858"/>
    <w:rsid w:val="000E189E"/>
    <w:rsid w:val="000E3FD8"/>
    <w:rsid w:val="000E59B7"/>
    <w:rsid w:val="000E62BA"/>
    <w:rsid w:val="000F1D49"/>
    <w:rsid w:val="000F2BDF"/>
    <w:rsid w:val="00107D4F"/>
    <w:rsid w:val="001171CC"/>
    <w:rsid w:val="001256F7"/>
    <w:rsid w:val="00157709"/>
    <w:rsid w:val="001778D6"/>
    <w:rsid w:val="00184D37"/>
    <w:rsid w:val="001A33F3"/>
    <w:rsid w:val="001D277B"/>
    <w:rsid w:val="001F3784"/>
    <w:rsid w:val="00200743"/>
    <w:rsid w:val="00204E4E"/>
    <w:rsid w:val="00211B6E"/>
    <w:rsid w:val="0021435E"/>
    <w:rsid w:val="0021750A"/>
    <w:rsid w:val="00222BAA"/>
    <w:rsid w:val="0022685C"/>
    <w:rsid w:val="00230405"/>
    <w:rsid w:val="00237634"/>
    <w:rsid w:val="00250212"/>
    <w:rsid w:val="002552D4"/>
    <w:rsid w:val="00262CDC"/>
    <w:rsid w:val="00290EC6"/>
    <w:rsid w:val="0029187E"/>
    <w:rsid w:val="0029208D"/>
    <w:rsid w:val="002920BF"/>
    <w:rsid w:val="002927C8"/>
    <w:rsid w:val="002B0BE1"/>
    <w:rsid w:val="002D63A7"/>
    <w:rsid w:val="002E4B31"/>
    <w:rsid w:val="003007EC"/>
    <w:rsid w:val="003066D0"/>
    <w:rsid w:val="00307886"/>
    <w:rsid w:val="00311803"/>
    <w:rsid w:val="00312C7F"/>
    <w:rsid w:val="00316C37"/>
    <w:rsid w:val="00327312"/>
    <w:rsid w:val="00336FA4"/>
    <w:rsid w:val="003440E3"/>
    <w:rsid w:val="0035216D"/>
    <w:rsid w:val="00352A11"/>
    <w:rsid w:val="00355C32"/>
    <w:rsid w:val="0036205B"/>
    <w:rsid w:val="003905FB"/>
    <w:rsid w:val="003C606B"/>
    <w:rsid w:val="003D5959"/>
    <w:rsid w:val="0043749E"/>
    <w:rsid w:val="00477CC4"/>
    <w:rsid w:val="004817FB"/>
    <w:rsid w:val="00482421"/>
    <w:rsid w:val="00482DB3"/>
    <w:rsid w:val="004901C5"/>
    <w:rsid w:val="004C0337"/>
    <w:rsid w:val="004C243D"/>
    <w:rsid w:val="004C3265"/>
    <w:rsid w:val="004C4FA0"/>
    <w:rsid w:val="004F0ECC"/>
    <w:rsid w:val="005138AB"/>
    <w:rsid w:val="00515B1F"/>
    <w:rsid w:val="00520340"/>
    <w:rsid w:val="00532780"/>
    <w:rsid w:val="00533E0C"/>
    <w:rsid w:val="0054068B"/>
    <w:rsid w:val="00543309"/>
    <w:rsid w:val="005509AC"/>
    <w:rsid w:val="00562C98"/>
    <w:rsid w:val="005729CC"/>
    <w:rsid w:val="00587773"/>
    <w:rsid w:val="005A03A2"/>
    <w:rsid w:val="005F3C5A"/>
    <w:rsid w:val="005F4A4B"/>
    <w:rsid w:val="0061252A"/>
    <w:rsid w:val="006411AB"/>
    <w:rsid w:val="00643C57"/>
    <w:rsid w:val="00646832"/>
    <w:rsid w:val="006477C7"/>
    <w:rsid w:val="00662FB7"/>
    <w:rsid w:val="00680DA9"/>
    <w:rsid w:val="00683C17"/>
    <w:rsid w:val="00684637"/>
    <w:rsid w:val="006A65F4"/>
    <w:rsid w:val="006B2E50"/>
    <w:rsid w:val="006C77FD"/>
    <w:rsid w:val="006C7831"/>
    <w:rsid w:val="006C7EB1"/>
    <w:rsid w:val="006F0799"/>
    <w:rsid w:val="006F5FC1"/>
    <w:rsid w:val="00722BAC"/>
    <w:rsid w:val="0073177E"/>
    <w:rsid w:val="0076592F"/>
    <w:rsid w:val="00765BC6"/>
    <w:rsid w:val="00765EEE"/>
    <w:rsid w:val="00776F23"/>
    <w:rsid w:val="007842F1"/>
    <w:rsid w:val="0078715F"/>
    <w:rsid w:val="00790705"/>
    <w:rsid w:val="007E67D4"/>
    <w:rsid w:val="007E6A47"/>
    <w:rsid w:val="007E6DC5"/>
    <w:rsid w:val="007F0006"/>
    <w:rsid w:val="007F548E"/>
    <w:rsid w:val="007F695C"/>
    <w:rsid w:val="00805896"/>
    <w:rsid w:val="00807170"/>
    <w:rsid w:val="0080760A"/>
    <w:rsid w:val="00820D83"/>
    <w:rsid w:val="00831AC7"/>
    <w:rsid w:val="008410F1"/>
    <w:rsid w:val="00850833"/>
    <w:rsid w:val="00860FB0"/>
    <w:rsid w:val="008651DA"/>
    <w:rsid w:val="00883BF4"/>
    <w:rsid w:val="008A6B33"/>
    <w:rsid w:val="008B0B16"/>
    <w:rsid w:val="008E0002"/>
    <w:rsid w:val="008E3FF0"/>
    <w:rsid w:val="008E59DE"/>
    <w:rsid w:val="008F5BE4"/>
    <w:rsid w:val="00916070"/>
    <w:rsid w:val="009223E2"/>
    <w:rsid w:val="0092586B"/>
    <w:rsid w:val="00940706"/>
    <w:rsid w:val="00942BFA"/>
    <w:rsid w:val="00943755"/>
    <w:rsid w:val="009613A4"/>
    <w:rsid w:val="009669A4"/>
    <w:rsid w:val="00970A8A"/>
    <w:rsid w:val="00977209"/>
    <w:rsid w:val="00985E84"/>
    <w:rsid w:val="00994116"/>
    <w:rsid w:val="009C3071"/>
    <w:rsid w:val="009D0560"/>
    <w:rsid w:val="009E1642"/>
    <w:rsid w:val="009E2D94"/>
    <w:rsid w:val="00A16EA1"/>
    <w:rsid w:val="00A26FDC"/>
    <w:rsid w:val="00A313CE"/>
    <w:rsid w:val="00A41153"/>
    <w:rsid w:val="00A55DA1"/>
    <w:rsid w:val="00A57783"/>
    <w:rsid w:val="00A64314"/>
    <w:rsid w:val="00A66ADF"/>
    <w:rsid w:val="00A71295"/>
    <w:rsid w:val="00A71C3E"/>
    <w:rsid w:val="00A82351"/>
    <w:rsid w:val="00AA499E"/>
    <w:rsid w:val="00AD689D"/>
    <w:rsid w:val="00AE1C41"/>
    <w:rsid w:val="00AF45AE"/>
    <w:rsid w:val="00B0100C"/>
    <w:rsid w:val="00B32039"/>
    <w:rsid w:val="00B341CC"/>
    <w:rsid w:val="00B45C5F"/>
    <w:rsid w:val="00B65B2D"/>
    <w:rsid w:val="00B75EF9"/>
    <w:rsid w:val="00B81A07"/>
    <w:rsid w:val="00B913B9"/>
    <w:rsid w:val="00B91F7C"/>
    <w:rsid w:val="00BB182D"/>
    <w:rsid w:val="00BB696C"/>
    <w:rsid w:val="00BC3471"/>
    <w:rsid w:val="00BC3F9A"/>
    <w:rsid w:val="00BC7C04"/>
    <w:rsid w:val="00BD52EF"/>
    <w:rsid w:val="00BE1F04"/>
    <w:rsid w:val="00BE6683"/>
    <w:rsid w:val="00C15984"/>
    <w:rsid w:val="00C760C4"/>
    <w:rsid w:val="00C76466"/>
    <w:rsid w:val="00CC51B9"/>
    <w:rsid w:val="00CE0DF1"/>
    <w:rsid w:val="00CF2835"/>
    <w:rsid w:val="00CF67E2"/>
    <w:rsid w:val="00D030B2"/>
    <w:rsid w:val="00D101B5"/>
    <w:rsid w:val="00D12140"/>
    <w:rsid w:val="00D14841"/>
    <w:rsid w:val="00D428D4"/>
    <w:rsid w:val="00D45219"/>
    <w:rsid w:val="00D60FF7"/>
    <w:rsid w:val="00D662F9"/>
    <w:rsid w:val="00D859CC"/>
    <w:rsid w:val="00D902FA"/>
    <w:rsid w:val="00DA3A4D"/>
    <w:rsid w:val="00DB2721"/>
    <w:rsid w:val="00DC5A4D"/>
    <w:rsid w:val="00DD1AF1"/>
    <w:rsid w:val="00DF3CCE"/>
    <w:rsid w:val="00E016EF"/>
    <w:rsid w:val="00E03670"/>
    <w:rsid w:val="00E03EDD"/>
    <w:rsid w:val="00E058EC"/>
    <w:rsid w:val="00E15D98"/>
    <w:rsid w:val="00E24994"/>
    <w:rsid w:val="00E35059"/>
    <w:rsid w:val="00E3526F"/>
    <w:rsid w:val="00E42E64"/>
    <w:rsid w:val="00E70D98"/>
    <w:rsid w:val="00E87BE7"/>
    <w:rsid w:val="00EA19AA"/>
    <w:rsid w:val="00EA523D"/>
    <w:rsid w:val="00EC2E4E"/>
    <w:rsid w:val="00EC3964"/>
    <w:rsid w:val="00EC5090"/>
    <w:rsid w:val="00ED33CD"/>
    <w:rsid w:val="00ED79C7"/>
    <w:rsid w:val="00EE41D6"/>
    <w:rsid w:val="00EE5C03"/>
    <w:rsid w:val="00EE6040"/>
    <w:rsid w:val="00EE7C23"/>
    <w:rsid w:val="00F005A4"/>
    <w:rsid w:val="00F02C87"/>
    <w:rsid w:val="00F124BA"/>
    <w:rsid w:val="00F1263F"/>
    <w:rsid w:val="00F2151B"/>
    <w:rsid w:val="00F2477F"/>
    <w:rsid w:val="00F37FAD"/>
    <w:rsid w:val="00F514A2"/>
    <w:rsid w:val="00F7017C"/>
    <w:rsid w:val="00F7609E"/>
    <w:rsid w:val="00F77929"/>
    <w:rsid w:val="00F801C2"/>
    <w:rsid w:val="00F81518"/>
    <w:rsid w:val="00F81970"/>
    <w:rsid w:val="00F850DD"/>
    <w:rsid w:val="00F86303"/>
    <w:rsid w:val="00FB722B"/>
    <w:rsid w:val="00FC7067"/>
    <w:rsid w:val="00FD05E3"/>
    <w:rsid w:val="00FD3E4B"/>
    <w:rsid w:val="00FD4FDF"/>
    <w:rsid w:val="00FD64A0"/>
    <w:rsid w:val="00FE063C"/>
    <w:rsid w:val="00FF7BF0"/>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23BDF"/>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paragraph" w:styleId="Revision">
    <w:name w:val="Revision"/>
    <w:hidden/>
    <w:uiPriority w:val="99"/>
    <w:semiHidden/>
    <w:rsid w:val="001256F7"/>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2672</Words>
  <Characters>16276</Characters>
  <Application>Microsoft Office Word</Application>
  <DocSecurity>0</DocSecurity>
  <Lines>387</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salesforceId:1946201d-1b12-4251-9f16-ee53b9ffe934</dc:subject>
  <dc:creator>O'Donoghue, Ruaridh</dc:creator>
  <cp:keywords/>
  <dc:description/>
  <cp:lastModifiedBy>Rutter-Dowd, Lucy</cp:lastModifiedBy>
  <cp:revision>8</cp:revision>
  <dcterms:created xsi:type="dcterms:W3CDTF">2026-02-27T12:06:00Z</dcterms:created>
  <dcterms:modified xsi:type="dcterms:W3CDTF">2026-02-27T12:11:00Z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069Q300000Mv9ukIAB</vt:lpwstr>
  </property>
</Properties>
</file>