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2EBF2A" w14:textId="77777777" w:rsidR="00FF2456" w:rsidRDefault="00FF2456" w:rsidP="00BB43F3"/>
    <w:p w14:paraId="3605BDD9" w14:textId="77777777" w:rsidR="00CD75B6" w:rsidRDefault="00CD75B6">
      <w:pPr>
        <w:widowControl w:val="0"/>
        <w:tabs>
          <w:tab w:val="left" w:pos="6000"/>
          <w:tab w:val="left" w:pos="9250"/>
        </w:tabs>
        <w:autoSpaceDE w:val="0"/>
        <w:autoSpaceDN w:val="0"/>
        <w:adjustRightInd w:val="0"/>
        <w:rPr>
          <w:rFonts w:cs="Arial"/>
          <w:color w:val="000000"/>
        </w:rPr>
      </w:pPr>
      <w:bookmarkStart w:id="0" w:name="rtf_text"/>
      <w:bookmarkEnd w:id="0"/>
      <w:r>
        <w:rPr>
          <w:rFonts w:cs="Arial"/>
          <w:color w:val="000000"/>
        </w:rPr>
        <w:t>Ms Helen Garside</w:t>
      </w:r>
      <w:r>
        <w:rPr>
          <w:rFonts w:cs="Arial"/>
          <w:color w:val="000000"/>
        </w:rPr>
        <w:tab/>
        <w:t>Direct Dial: 01179750726</w:t>
      </w:r>
      <w:r>
        <w:rPr>
          <w:rFonts w:cs="Arial"/>
          <w:color w:val="000000"/>
        </w:rPr>
        <w:tab/>
      </w:r>
      <w:r>
        <w:rPr>
          <w:rFonts w:cs="Arial"/>
          <w:color w:val="000000"/>
        </w:rPr>
        <w:tab/>
      </w:r>
    </w:p>
    <w:p w14:paraId="155102F4" w14:textId="77777777" w:rsidR="00CD75B6" w:rsidRDefault="00CD75B6">
      <w:pPr>
        <w:widowControl w:val="0"/>
        <w:tabs>
          <w:tab w:val="left" w:pos="6000"/>
          <w:tab w:val="left" w:pos="9250"/>
        </w:tabs>
        <w:autoSpaceDE w:val="0"/>
        <w:autoSpaceDN w:val="0"/>
        <w:adjustRightInd w:val="0"/>
        <w:rPr>
          <w:rFonts w:cs="Arial"/>
          <w:color w:val="000000"/>
        </w:rPr>
      </w:pPr>
      <w:r>
        <w:rPr>
          <w:rFonts w:cs="Arial"/>
          <w:color w:val="000000"/>
        </w:rPr>
        <w:t>Wiltshire Council</w:t>
      </w:r>
      <w:r>
        <w:rPr>
          <w:rFonts w:cs="Arial"/>
          <w:color w:val="000000"/>
        </w:rPr>
        <w:tab/>
        <w:t xml:space="preserve"> </w:t>
      </w:r>
      <w:r>
        <w:rPr>
          <w:rFonts w:cs="Arial"/>
          <w:color w:val="000000"/>
        </w:rPr>
        <w:tab/>
      </w:r>
      <w:r>
        <w:rPr>
          <w:rFonts w:cs="Arial"/>
          <w:color w:val="000000"/>
        </w:rPr>
        <w:tab/>
      </w:r>
    </w:p>
    <w:p w14:paraId="5FEB0B4D" w14:textId="77777777" w:rsidR="00CD75B6" w:rsidRDefault="00CD75B6">
      <w:pPr>
        <w:widowControl w:val="0"/>
        <w:tabs>
          <w:tab w:val="left" w:pos="6000"/>
          <w:tab w:val="left" w:pos="9250"/>
        </w:tabs>
        <w:autoSpaceDE w:val="0"/>
        <w:autoSpaceDN w:val="0"/>
        <w:adjustRightInd w:val="0"/>
        <w:rPr>
          <w:rFonts w:cs="Arial"/>
          <w:color w:val="000000"/>
        </w:rPr>
      </w:pPr>
      <w:r>
        <w:rPr>
          <w:rFonts w:cs="Arial"/>
          <w:color w:val="000000"/>
        </w:rPr>
        <w:t>Development Management</w:t>
      </w:r>
      <w:r>
        <w:rPr>
          <w:rFonts w:cs="Arial"/>
          <w:color w:val="000000"/>
        </w:rPr>
        <w:tab/>
        <w:t>Our ref: L01604161</w:t>
      </w:r>
      <w:r>
        <w:rPr>
          <w:rFonts w:cs="Arial"/>
          <w:color w:val="000000"/>
        </w:rPr>
        <w:tab/>
      </w:r>
      <w:r>
        <w:rPr>
          <w:rFonts w:cs="Arial"/>
          <w:color w:val="000000"/>
        </w:rPr>
        <w:tab/>
      </w:r>
    </w:p>
    <w:p w14:paraId="571D7FCF" w14:textId="77777777" w:rsidR="00CD75B6" w:rsidRDefault="00CD75B6">
      <w:pPr>
        <w:widowControl w:val="0"/>
        <w:tabs>
          <w:tab w:val="left" w:pos="6000"/>
          <w:tab w:val="left" w:pos="9250"/>
        </w:tabs>
        <w:autoSpaceDE w:val="0"/>
        <w:autoSpaceDN w:val="0"/>
        <w:adjustRightInd w:val="0"/>
        <w:rPr>
          <w:rFonts w:cs="Arial"/>
          <w:color w:val="000000"/>
        </w:rPr>
      </w:pPr>
      <w:r>
        <w:rPr>
          <w:rFonts w:cs="Arial"/>
          <w:color w:val="000000"/>
        </w:rPr>
        <w:t>Economic Development and Planning</w:t>
      </w:r>
      <w:r>
        <w:rPr>
          <w:rFonts w:cs="Arial"/>
          <w:color w:val="000000"/>
        </w:rPr>
        <w:tab/>
        <w:t xml:space="preserve"> </w:t>
      </w:r>
      <w:r>
        <w:rPr>
          <w:rFonts w:cs="Arial"/>
          <w:color w:val="000000"/>
        </w:rPr>
        <w:tab/>
      </w:r>
      <w:r>
        <w:rPr>
          <w:rFonts w:cs="Arial"/>
          <w:color w:val="000000"/>
        </w:rPr>
        <w:tab/>
      </w:r>
    </w:p>
    <w:p w14:paraId="21BD0530" w14:textId="77777777" w:rsidR="00CD75B6" w:rsidRDefault="00CD75B6">
      <w:pPr>
        <w:widowControl w:val="0"/>
        <w:tabs>
          <w:tab w:val="left" w:pos="6000"/>
          <w:tab w:val="left" w:pos="9250"/>
        </w:tabs>
        <w:autoSpaceDE w:val="0"/>
        <w:autoSpaceDN w:val="0"/>
        <w:adjustRightInd w:val="0"/>
        <w:rPr>
          <w:rFonts w:cs="Arial"/>
          <w:color w:val="000000"/>
        </w:rPr>
      </w:pPr>
      <w:r>
        <w:rPr>
          <w:rFonts w:cs="Arial"/>
          <w:color w:val="000000"/>
        </w:rPr>
        <w:t>County Hall, Bythesea Road</w:t>
      </w:r>
      <w:r>
        <w:rPr>
          <w:rFonts w:cs="Arial"/>
          <w:color w:val="000000"/>
        </w:rPr>
        <w:tab/>
        <w:t xml:space="preserve"> </w:t>
      </w:r>
      <w:r>
        <w:rPr>
          <w:rFonts w:cs="Arial"/>
          <w:color w:val="000000"/>
        </w:rPr>
        <w:tab/>
      </w:r>
      <w:r>
        <w:rPr>
          <w:rFonts w:cs="Arial"/>
          <w:color w:val="000000"/>
        </w:rPr>
        <w:tab/>
      </w:r>
    </w:p>
    <w:p w14:paraId="6B7CC5DF" w14:textId="77777777" w:rsidR="00CD75B6" w:rsidRDefault="00CD75B6">
      <w:pPr>
        <w:widowControl w:val="0"/>
        <w:tabs>
          <w:tab w:val="left" w:pos="6000"/>
          <w:tab w:val="left" w:pos="9250"/>
        </w:tabs>
        <w:autoSpaceDE w:val="0"/>
        <w:autoSpaceDN w:val="0"/>
        <w:adjustRightInd w:val="0"/>
        <w:rPr>
          <w:rFonts w:cs="Arial"/>
          <w:color w:val="000000"/>
        </w:rPr>
      </w:pPr>
      <w:r>
        <w:rPr>
          <w:rFonts w:cs="Arial"/>
          <w:color w:val="000000"/>
        </w:rPr>
        <w:t>Trowbridge, Wiltshire</w:t>
      </w:r>
      <w:r>
        <w:rPr>
          <w:rFonts w:cs="Arial"/>
          <w:color w:val="000000"/>
        </w:rPr>
        <w:tab/>
        <w:t xml:space="preserve"> </w:t>
      </w:r>
      <w:r>
        <w:rPr>
          <w:rFonts w:cs="Arial"/>
          <w:color w:val="000000"/>
        </w:rPr>
        <w:tab/>
      </w:r>
      <w:r>
        <w:rPr>
          <w:rFonts w:cs="Arial"/>
          <w:color w:val="000000"/>
        </w:rPr>
        <w:tab/>
      </w:r>
    </w:p>
    <w:p w14:paraId="2CBFE822" w14:textId="77777777" w:rsidR="00CD75B6" w:rsidRDefault="00CD75B6">
      <w:pPr>
        <w:widowControl w:val="0"/>
        <w:tabs>
          <w:tab w:val="left" w:pos="6000"/>
          <w:tab w:val="left" w:pos="9250"/>
        </w:tabs>
        <w:autoSpaceDE w:val="0"/>
        <w:autoSpaceDN w:val="0"/>
        <w:adjustRightInd w:val="0"/>
        <w:rPr>
          <w:rFonts w:cs="Arial"/>
          <w:color w:val="000000"/>
        </w:rPr>
      </w:pPr>
      <w:r>
        <w:rPr>
          <w:rFonts w:cs="Arial"/>
          <w:color w:val="000000"/>
        </w:rPr>
        <w:t>BA14 8JN</w:t>
      </w:r>
      <w:r>
        <w:rPr>
          <w:rFonts w:cs="Arial"/>
          <w:color w:val="000000"/>
        </w:rPr>
        <w:tab/>
        <w:t>24 February 2026</w:t>
      </w:r>
      <w:r>
        <w:rPr>
          <w:rFonts w:cs="Arial"/>
          <w:color w:val="000000"/>
        </w:rPr>
        <w:tab/>
      </w:r>
      <w:r>
        <w:rPr>
          <w:rFonts w:cs="Arial"/>
          <w:color w:val="000000"/>
        </w:rPr>
        <w:tab/>
      </w:r>
    </w:p>
    <w:p w14:paraId="59393E63" w14:textId="77777777" w:rsidR="00CD75B6" w:rsidRDefault="00CD75B6">
      <w:pPr>
        <w:widowControl w:val="0"/>
        <w:autoSpaceDE w:val="0"/>
        <w:autoSpaceDN w:val="0"/>
        <w:adjustRightInd w:val="0"/>
        <w:rPr>
          <w:rFonts w:cs="Arial"/>
          <w:color w:val="000000"/>
        </w:rPr>
      </w:pPr>
    </w:p>
    <w:p w14:paraId="041B343C" w14:textId="77777777" w:rsidR="00CD75B6" w:rsidRDefault="00CD75B6">
      <w:pPr>
        <w:widowControl w:val="0"/>
        <w:autoSpaceDE w:val="0"/>
        <w:autoSpaceDN w:val="0"/>
        <w:adjustRightInd w:val="0"/>
        <w:rPr>
          <w:rFonts w:cs="Arial"/>
          <w:color w:val="000000"/>
        </w:rPr>
      </w:pPr>
    </w:p>
    <w:p w14:paraId="22AF943A" w14:textId="77777777" w:rsidR="00CD75B6" w:rsidRDefault="00CD75B6">
      <w:pPr>
        <w:widowControl w:val="0"/>
        <w:autoSpaceDE w:val="0"/>
        <w:autoSpaceDN w:val="0"/>
        <w:adjustRightInd w:val="0"/>
        <w:rPr>
          <w:rFonts w:cs="Arial"/>
          <w:color w:val="000000"/>
        </w:rPr>
      </w:pPr>
      <w:r>
        <w:rPr>
          <w:rFonts w:cs="Arial"/>
          <w:color w:val="000000"/>
        </w:rPr>
        <w:t>Dear Ms Garside</w:t>
      </w:r>
    </w:p>
    <w:p w14:paraId="44D631EA" w14:textId="77777777" w:rsidR="00CD75B6" w:rsidRDefault="00CD75B6">
      <w:pPr>
        <w:widowControl w:val="0"/>
        <w:autoSpaceDE w:val="0"/>
        <w:autoSpaceDN w:val="0"/>
        <w:adjustRightInd w:val="0"/>
        <w:rPr>
          <w:rFonts w:cs="Arial"/>
          <w:color w:val="000000"/>
        </w:rPr>
      </w:pPr>
    </w:p>
    <w:p w14:paraId="6845A45D" w14:textId="77777777" w:rsidR="00CD75B6" w:rsidRDefault="00CD75B6">
      <w:pPr>
        <w:widowControl w:val="0"/>
        <w:autoSpaceDE w:val="0"/>
        <w:autoSpaceDN w:val="0"/>
        <w:adjustRightInd w:val="0"/>
        <w:rPr>
          <w:rFonts w:cs="Arial"/>
          <w:b/>
          <w:bCs/>
          <w:color w:val="000000"/>
        </w:rPr>
      </w:pPr>
      <w:r>
        <w:rPr>
          <w:rFonts w:cs="Arial"/>
          <w:b/>
          <w:bCs/>
          <w:color w:val="000000"/>
        </w:rPr>
        <w:t>Arrangements for Handling Heritage Applications Direction 2021</w:t>
      </w:r>
    </w:p>
    <w:p w14:paraId="52BF7321" w14:textId="77777777" w:rsidR="00CD75B6" w:rsidRDefault="00CD75B6">
      <w:pPr>
        <w:widowControl w:val="0"/>
        <w:autoSpaceDE w:val="0"/>
        <w:autoSpaceDN w:val="0"/>
        <w:adjustRightInd w:val="0"/>
        <w:rPr>
          <w:rFonts w:cs="Arial"/>
          <w:b/>
          <w:bCs/>
          <w:color w:val="000000"/>
        </w:rPr>
      </w:pPr>
    </w:p>
    <w:p w14:paraId="15B08FAF" w14:textId="77777777" w:rsidR="00CD75B6" w:rsidRDefault="00CD75B6">
      <w:pPr>
        <w:widowControl w:val="0"/>
        <w:autoSpaceDE w:val="0"/>
        <w:autoSpaceDN w:val="0"/>
        <w:adjustRightInd w:val="0"/>
        <w:rPr>
          <w:rFonts w:cs="Arial"/>
          <w:color w:val="000000"/>
        </w:rPr>
      </w:pPr>
      <w:r>
        <w:rPr>
          <w:rFonts w:cs="Arial"/>
          <w:b/>
          <w:bCs/>
          <w:color w:val="000000"/>
        </w:rPr>
        <w:t>TOTTENHAM HOUSE &amp; ESTATE, GRAND AVENUE, SAVERNAKE, MARLBOROUGH, WILTSHIRE, SN8 3BE</w:t>
      </w:r>
    </w:p>
    <w:p w14:paraId="3184E61F" w14:textId="77777777" w:rsidR="00CD75B6" w:rsidRDefault="00CD75B6">
      <w:pPr>
        <w:widowControl w:val="0"/>
        <w:autoSpaceDE w:val="0"/>
        <w:autoSpaceDN w:val="0"/>
        <w:adjustRightInd w:val="0"/>
        <w:rPr>
          <w:rFonts w:cs="Arial"/>
          <w:color w:val="000000"/>
        </w:rPr>
      </w:pPr>
      <w:r>
        <w:rPr>
          <w:rFonts w:cs="Arial"/>
          <w:b/>
          <w:bCs/>
          <w:color w:val="000000"/>
        </w:rPr>
        <w:t>Application No. PL/2026/00713</w:t>
      </w:r>
    </w:p>
    <w:p w14:paraId="527CF9EB" w14:textId="77777777" w:rsidR="00CD75B6" w:rsidRDefault="00CD75B6">
      <w:pPr>
        <w:widowControl w:val="0"/>
        <w:autoSpaceDE w:val="0"/>
        <w:autoSpaceDN w:val="0"/>
        <w:adjustRightInd w:val="0"/>
        <w:rPr>
          <w:rFonts w:cs="Arial"/>
          <w:color w:val="000000"/>
        </w:rPr>
      </w:pPr>
    </w:p>
    <w:p w14:paraId="1F8C913A" w14:textId="77777777" w:rsidR="00CD75B6" w:rsidRDefault="00CD75B6">
      <w:pPr>
        <w:widowControl w:val="0"/>
        <w:autoSpaceDE w:val="0"/>
        <w:autoSpaceDN w:val="0"/>
        <w:adjustRightInd w:val="0"/>
        <w:rPr>
          <w:rFonts w:cs="Arial"/>
          <w:color w:val="000000"/>
        </w:rPr>
      </w:pPr>
      <w:r>
        <w:rPr>
          <w:rFonts w:cs="Arial"/>
          <w:color w:val="000000"/>
        </w:rPr>
        <w:t>Thank you for your letter of 4 February 2026 regarding the above application for listed building consent. On the basis of the information available to date, we offer the following advice to assist your authority in determining the application.</w:t>
      </w:r>
    </w:p>
    <w:p w14:paraId="6EAC2447" w14:textId="77777777" w:rsidR="00CD75B6" w:rsidRDefault="00CD75B6">
      <w:pPr>
        <w:widowControl w:val="0"/>
        <w:autoSpaceDE w:val="0"/>
        <w:autoSpaceDN w:val="0"/>
        <w:adjustRightInd w:val="0"/>
        <w:rPr>
          <w:rFonts w:cs="Arial"/>
          <w:color w:val="000000"/>
        </w:rPr>
      </w:pPr>
    </w:p>
    <w:p w14:paraId="5CF89933" w14:textId="77777777" w:rsidR="00CD75B6" w:rsidRDefault="00CD75B6">
      <w:pPr>
        <w:widowControl w:val="0"/>
        <w:autoSpaceDE w:val="0"/>
        <w:autoSpaceDN w:val="0"/>
        <w:adjustRightInd w:val="0"/>
        <w:rPr>
          <w:rFonts w:cs="Arial"/>
          <w:b/>
          <w:bCs/>
          <w:color w:val="000000"/>
        </w:rPr>
      </w:pPr>
      <w:r>
        <w:rPr>
          <w:rFonts w:cs="Arial"/>
          <w:b/>
          <w:bCs/>
          <w:color w:val="000000"/>
        </w:rPr>
        <w:t>Historic England Advice</w:t>
      </w:r>
    </w:p>
    <w:p w14:paraId="481A1876" w14:textId="77777777" w:rsidR="00CD75B6" w:rsidRDefault="00CD75B6">
      <w:pPr>
        <w:widowControl w:val="0"/>
        <w:autoSpaceDE w:val="0"/>
        <w:autoSpaceDN w:val="0"/>
        <w:adjustRightInd w:val="0"/>
        <w:rPr>
          <w:rFonts w:cs="Arial"/>
          <w:color w:val="000000"/>
        </w:rPr>
      </w:pPr>
    </w:p>
    <w:p w14:paraId="2C294607" w14:textId="77777777" w:rsidR="00CD75B6" w:rsidRDefault="00CD75B6">
      <w:pPr>
        <w:widowControl w:val="0"/>
        <w:autoSpaceDE w:val="0"/>
        <w:autoSpaceDN w:val="0"/>
        <w:adjustRightInd w:val="0"/>
        <w:rPr>
          <w:rFonts w:cs="Arial"/>
          <w:b/>
          <w:bCs/>
          <w:color w:val="000000"/>
        </w:rPr>
      </w:pPr>
      <w:r>
        <w:rPr>
          <w:rFonts w:cs="Arial"/>
          <w:b/>
          <w:bCs/>
          <w:color w:val="000000"/>
        </w:rPr>
        <w:t>Heritage Significance of Tottenham House its Registered Park and Garden and associated heritage assets</w:t>
      </w:r>
    </w:p>
    <w:p w14:paraId="4670483E" w14:textId="77777777" w:rsidR="00CD75B6" w:rsidRDefault="00CD75B6">
      <w:pPr>
        <w:widowControl w:val="0"/>
        <w:autoSpaceDE w:val="0"/>
        <w:autoSpaceDN w:val="0"/>
        <w:adjustRightInd w:val="0"/>
        <w:rPr>
          <w:rFonts w:cs="Arial"/>
          <w:color w:val="000000"/>
        </w:rPr>
      </w:pPr>
    </w:p>
    <w:p w14:paraId="5C905A39" w14:textId="77777777" w:rsidR="00CD75B6" w:rsidRDefault="00CD75B6">
      <w:pPr>
        <w:widowControl w:val="0"/>
        <w:autoSpaceDE w:val="0"/>
        <w:autoSpaceDN w:val="0"/>
        <w:adjustRightInd w:val="0"/>
        <w:rPr>
          <w:rFonts w:cs="Arial"/>
          <w:color w:val="000000"/>
        </w:rPr>
      </w:pPr>
      <w:r>
        <w:rPr>
          <w:rFonts w:cs="Arial"/>
          <w:color w:val="000000"/>
        </w:rPr>
        <w:t xml:space="preserve">Tottenham House is listed at Grade I and is surrounded by its ancillary buildings, including the Grade II* Stable Block. It sits within the Grade II* Tottenham House and Savernake Forest Registered Park and Garden (RPG). There is also a scheduled Romano-British Kiln site within the estate. </w:t>
      </w:r>
    </w:p>
    <w:p w14:paraId="28E22589" w14:textId="77777777" w:rsidR="00CD75B6" w:rsidRDefault="00CD75B6">
      <w:pPr>
        <w:widowControl w:val="0"/>
        <w:autoSpaceDE w:val="0"/>
        <w:autoSpaceDN w:val="0"/>
        <w:adjustRightInd w:val="0"/>
        <w:rPr>
          <w:rFonts w:cs="Arial"/>
          <w:color w:val="000000"/>
        </w:rPr>
      </w:pPr>
    </w:p>
    <w:p w14:paraId="06C6B0AB" w14:textId="77777777" w:rsidR="00CD75B6" w:rsidRDefault="00CD75B6">
      <w:pPr>
        <w:widowControl w:val="0"/>
        <w:autoSpaceDE w:val="0"/>
        <w:autoSpaceDN w:val="0"/>
        <w:adjustRightInd w:val="0"/>
        <w:rPr>
          <w:rFonts w:cs="Arial"/>
          <w:color w:val="000000"/>
        </w:rPr>
      </w:pPr>
      <w:r>
        <w:rPr>
          <w:rFonts w:cs="Arial"/>
          <w:color w:val="000000"/>
        </w:rPr>
        <w:t xml:space="preserve">Tottenham House and the Stable Block and the Registered Park and Garden are on the Heritage at Risk Register. </w:t>
      </w:r>
    </w:p>
    <w:p w14:paraId="0F7456EE" w14:textId="77777777" w:rsidR="00CD75B6" w:rsidRDefault="00CD75B6">
      <w:pPr>
        <w:widowControl w:val="0"/>
        <w:autoSpaceDE w:val="0"/>
        <w:autoSpaceDN w:val="0"/>
        <w:adjustRightInd w:val="0"/>
        <w:rPr>
          <w:rFonts w:cs="Arial"/>
          <w:color w:val="000000"/>
        </w:rPr>
      </w:pPr>
    </w:p>
    <w:p w14:paraId="7D37B4E2" w14:textId="77777777" w:rsidR="00CD75B6" w:rsidRDefault="00CD75B6">
      <w:pPr>
        <w:widowControl w:val="0"/>
        <w:autoSpaceDE w:val="0"/>
        <w:autoSpaceDN w:val="0"/>
        <w:adjustRightInd w:val="0"/>
        <w:rPr>
          <w:rFonts w:cs="Arial"/>
          <w:color w:val="000000"/>
        </w:rPr>
      </w:pPr>
      <w:r>
        <w:rPr>
          <w:rFonts w:cs="Arial"/>
          <w:color w:val="000000"/>
        </w:rPr>
        <w:t>Tottenham House itself is one of the largest houses in Wiltshire.  It started life as a building designed by Lord Burlington but was later heavily remodelled for Charles Brudenell-Bruce, Early of Ailsbury, in 1825 by Thomas Cundy and remains an important architectural example of their works.  Alongside the main house, the estate includes the Stable Block, built by Cundy, which is a clear marker of the core of the estate within the wider parkland. The kitchen garden moved to its current location as part of the Lancelot ‘Capability’ Brown re-landscaping and is interesting due to its size and two-part design. It provides evidence of the Estate’s changing function and fortunes over time.</w:t>
      </w:r>
    </w:p>
    <w:p w14:paraId="5D234CCB" w14:textId="77777777" w:rsidR="00CD75B6" w:rsidRDefault="00CD75B6">
      <w:pPr>
        <w:widowControl w:val="0"/>
        <w:autoSpaceDE w:val="0"/>
        <w:autoSpaceDN w:val="0"/>
        <w:adjustRightInd w:val="0"/>
        <w:rPr>
          <w:rFonts w:cs="Arial"/>
          <w:color w:val="000000"/>
        </w:rPr>
      </w:pPr>
    </w:p>
    <w:p w14:paraId="2E45E9FA" w14:textId="77777777" w:rsidR="00CD75B6" w:rsidRDefault="00CD75B6">
      <w:pPr>
        <w:widowControl w:val="0"/>
        <w:autoSpaceDE w:val="0"/>
        <w:autoSpaceDN w:val="0"/>
        <w:adjustRightInd w:val="0"/>
        <w:rPr>
          <w:rFonts w:cs="Arial"/>
          <w:color w:val="000000"/>
        </w:rPr>
      </w:pPr>
      <w:r>
        <w:rPr>
          <w:rFonts w:cs="Arial"/>
          <w:color w:val="000000"/>
        </w:rPr>
        <w:t>The Registered Park and Garden (RPG) is extensive and includes the Savernake Forest. A small portion of the overall Registered Park and Garden is currently in the same ownership as Tottenham House. The landscape has been altered and manipulated by several hands over time, most notably by Richard Boyle, Lord Burlington, during the early-C18 and subsequently by Lancelot ‘Capability’ Brown, during the mid to late-C18. While the fragmentation of the larger estate is unfortunate, it is still clearly legible as the former estate parkland and its eye-catchers and connecting rides provide a cohesiveness that has been retained.</w:t>
      </w:r>
    </w:p>
    <w:p w14:paraId="4B2DFAAE" w14:textId="77777777" w:rsidR="00CD75B6" w:rsidRDefault="00CD75B6">
      <w:pPr>
        <w:widowControl w:val="0"/>
        <w:autoSpaceDE w:val="0"/>
        <w:autoSpaceDN w:val="0"/>
        <w:adjustRightInd w:val="0"/>
        <w:rPr>
          <w:rFonts w:cs="Arial"/>
          <w:color w:val="000000"/>
        </w:rPr>
      </w:pPr>
    </w:p>
    <w:p w14:paraId="3DF6BD67" w14:textId="77777777" w:rsidR="00CD75B6" w:rsidRDefault="00CD75B6">
      <w:pPr>
        <w:widowControl w:val="0"/>
        <w:autoSpaceDE w:val="0"/>
        <w:autoSpaceDN w:val="0"/>
        <w:adjustRightInd w:val="0"/>
        <w:rPr>
          <w:rFonts w:cs="Arial"/>
          <w:color w:val="000000"/>
        </w:rPr>
      </w:pPr>
      <w:r>
        <w:rPr>
          <w:rFonts w:cs="Arial"/>
          <w:color w:val="000000"/>
        </w:rPr>
        <w:t>This application relates to the East Terrace to Tottenham House. As evidenced by historic map regression, the existing gravel terrace has remained largely unchanged since the 18</w:t>
      </w:r>
      <w:r>
        <w:rPr>
          <w:rFonts w:cs="Arial"/>
          <w:color w:val="000000"/>
          <w:vertAlign w:val="superscript"/>
        </w:rPr>
        <w:t>th</w:t>
      </w:r>
      <w:r>
        <w:rPr>
          <w:rFonts w:cs="Arial"/>
          <w:color w:val="000000"/>
        </w:rPr>
        <w:t xml:space="preserve"> century. Steps from the East Terrace link to the Exedra (or East) Lawn from which fine views extend across the East Park and hills in the far distance.</w:t>
      </w:r>
    </w:p>
    <w:p w14:paraId="3DCCEA3D" w14:textId="77777777" w:rsidR="00CD75B6" w:rsidRDefault="00CD75B6">
      <w:pPr>
        <w:widowControl w:val="0"/>
        <w:autoSpaceDE w:val="0"/>
        <w:autoSpaceDN w:val="0"/>
        <w:adjustRightInd w:val="0"/>
        <w:rPr>
          <w:rFonts w:cs="Arial"/>
          <w:color w:val="000000"/>
        </w:rPr>
      </w:pPr>
    </w:p>
    <w:p w14:paraId="79430D7C" w14:textId="77777777" w:rsidR="00CD75B6" w:rsidRDefault="00CD75B6">
      <w:pPr>
        <w:widowControl w:val="0"/>
        <w:autoSpaceDE w:val="0"/>
        <w:autoSpaceDN w:val="0"/>
        <w:adjustRightInd w:val="0"/>
        <w:rPr>
          <w:rFonts w:cs="Arial"/>
          <w:b/>
          <w:bCs/>
          <w:color w:val="000000"/>
        </w:rPr>
      </w:pPr>
      <w:r>
        <w:rPr>
          <w:rFonts w:cs="Arial"/>
          <w:b/>
          <w:bCs/>
          <w:color w:val="000000"/>
        </w:rPr>
        <w:t>Impact of the proposals on the heritage assets</w:t>
      </w:r>
    </w:p>
    <w:p w14:paraId="1C693A65" w14:textId="77777777" w:rsidR="00CD75B6" w:rsidRDefault="00CD75B6">
      <w:pPr>
        <w:widowControl w:val="0"/>
        <w:autoSpaceDE w:val="0"/>
        <w:autoSpaceDN w:val="0"/>
        <w:adjustRightInd w:val="0"/>
        <w:rPr>
          <w:rFonts w:cs="Arial"/>
          <w:b/>
          <w:bCs/>
          <w:color w:val="000000"/>
        </w:rPr>
      </w:pPr>
    </w:p>
    <w:p w14:paraId="0BF20159" w14:textId="77777777" w:rsidR="00CD75B6" w:rsidRDefault="00CD75B6">
      <w:pPr>
        <w:widowControl w:val="0"/>
        <w:autoSpaceDE w:val="0"/>
        <w:autoSpaceDN w:val="0"/>
        <w:adjustRightInd w:val="0"/>
        <w:rPr>
          <w:rFonts w:cs="Arial"/>
          <w:color w:val="000000"/>
        </w:rPr>
      </w:pPr>
      <w:r>
        <w:rPr>
          <w:rFonts w:cs="Arial"/>
          <w:color w:val="000000"/>
        </w:rPr>
        <w:t>The proposals comprise the resurfacing of the East Terrace in stone paving, and restoration of the existing, central steps and urns. To reduce the extent of hard surfacing, a new formal lawn is also proposed adjacent to the lightwells along the terrace. The proposals are a detailed development of those submitted in application PL/2024/09243 &amp; PL/2024/09312 (HE ref: L01584324) last year.</w:t>
      </w:r>
    </w:p>
    <w:p w14:paraId="5E2A5FD7" w14:textId="77777777" w:rsidR="00CD75B6" w:rsidRDefault="00CD75B6">
      <w:pPr>
        <w:widowControl w:val="0"/>
        <w:autoSpaceDE w:val="0"/>
        <w:autoSpaceDN w:val="0"/>
        <w:adjustRightInd w:val="0"/>
        <w:rPr>
          <w:rFonts w:cs="Arial"/>
          <w:color w:val="000000"/>
        </w:rPr>
      </w:pPr>
    </w:p>
    <w:p w14:paraId="1AAB90E7" w14:textId="77777777" w:rsidR="00CD75B6" w:rsidRDefault="00CD75B6">
      <w:pPr>
        <w:widowControl w:val="0"/>
        <w:autoSpaceDE w:val="0"/>
        <w:autoSpaceDN w:val="0"/>
        <w:adjustRightInd w:val="0"/>
        <w:rPr>
          <w:rFonts w:cs="Arial"/>
          <w:color w:val="000000"/>
        </w:rPr>
      </w:pPr>
      <w:r>
        <w:rPr>
          <w:rFonts w:cs="Arial"/>
          <w:color w:val="000000"/>
        </w:rPr>
        <w:t>As outlined above, the existing gravel terrace has remained largely unchanged since the 18</w:t>
      </w:r>
      <w:r>
        <w:rPr>
          <w:rFonts w:cs="Arial"/>
          <w:color w:val="000000"/>
          <w:vertAlign w:val="superscript"/>
        </w:rPr>
        <w:t>th</w:t>
      </w:r>
      <w:r>
        <w:rPr>
          <w:rFonts w:cs="Arial"/>
          <w:color w:val="000000"/>
        </w:rPr>
        <w:t xml:space="preserve"> century. The proposal will thus bring an added degree of formality to the layout and character. </w:t>
      </w:r>
    </w:p>
    <w:p w14:paraId="42E2A092" w14:textId="77777777" w:rsidR="00CD75B6" w:rsidRDefault="00CD75B6">
      <w:pPr>
        <w:widowControl w:val="0"/>
        <w:autoSpaceDE w:val="0"/>
        <w:autoSpaceDN w:val="0"/>
        <w:adjustRightInd w:val="0"/>
        <w:rPr>
          <w:rFonts w:cs="Arial"/>
          <w:color w:val="000000"/>
        </w:rPr>
      </w:pPr>
    </w:p>
    <w:p w14:paraId="0B36D2CA" w14:textId="77777777" w:rsidR="00CD75B6" w:rsidRDefault="00CD75B6">
      <w:pPr>
        <w:widowControl w:val="0"/>
        <w:autoSpaceDE w:val="0"/>
        <w:autoSpaceDN w:val="0"/>
        <w:adjustRightInd w:val="0"/>
        <w:rPr>
          <w:rFonts w:cs="Arial"/>
          <w:color w:val="000000"/>
        </w:rPr>
      </w:pPr>
      <w:r>
        <w:rPr>
          <w:rFonts w:cs="Arial"/>
          <w:color w:val="000000"/>
        </w:rPr>
        <w:t>Whilst we largely concur with the design approach summarised in the Condition Statement, we query the contribution the proposed balustrading makes to the setting of the terrace, particularly given the original, open layout. Also, in context with the scale of the east elevation of the House, and the Exedra Lawn, the balustrade has the potential to appear as an unnecessary ‘add on’ to the terrace. The proposed elevations included in the application only include details of the restoration to the steps. Therefore, it is difficult to appreciate how the balustrade interfaces with the latter and what its potential impact will be. An amended or additional elevation, or a visualisation, would therefore be beneficial to assess this.</w:t>
      </w:r>
    </w:p>
    <w:p w14:paraId="51414960" w14:textId="77777777" w:rsidR="00CD75B6" w:rsidRDefault="00CD75B6">
      <w:pPr>
        <w:widowControl w:val="0"/>
        <w:autoSpaceDE w:val="0"/>
        <w:autoSpaceDN w:val="0"/>
        <w:adjustRightInd w:val="0"/>
        <w:rPr>
          <w:rFonts w:cs="Arial"/>
          <w:color w:val="000000"/>
        </w:rPr>
      </w:pPr>
    </w:p>
    <w:p w14:paraId="50A8D857" w14:textId="77777777" w:rsidR="00CD75B6" w:rsidRDefault="00CD75B6">
      <w:pPr>
        <w:widowControl w:val="0"/>
        <w:autoSpaceDE w:val="0"/>
        <w:autoSpaceDN w:val="0"/>
        <w:adjustRightInd w:val="0"/>
        <w:rPr>
          <w:rFonts w:cs="Arial"/>
          <w:color w:val="000000"/>
        </w:rPr>
      </w:pPr>
      <w:r>
        <w:rPr>
          <w:rFonts w:cs="Arial"/>
          <w:color w:val="000000"/>
        </w:rPr>
        <w:t>The proposed paving for the terrace and adjoining footpaths is reclaimed Yorkstone. Given the extents and the sensitive location along the east elevation of the House we would recommend samples are obtained to ensure continuity with original masonry and paving.</w:t>
      </w:r>
    </w:p>
    <w:p w14:paraId="78807418" w14:textId="77777777" w:rsidR="00CD75B6" w:rsidRDefault="00CD75B6">
      <w:pPr>
        <w:widowControl w:val="0"/>
        <w:autoSpaceDE w:val="0"/>
        <w:autoSpaceDN w:val="0"/>
        <w:adjustRightInd w:val="0"/>
        <w:rPr>
          <w:rFonts w:cs="Arial"/>
          <w:color w:val="000000"/>
        </w:rPr>
      </w:pPr>
    </w:p>
    <w:p w14:paraId="72F2AB89" w14:textId="77777777" w:rsidR="00CD75B6" w:rsidRDefault="00CD75B6">
      <w:pPr>
        <w:widowControl w:val="0"/>
        <w:autoSpaceDE w:val="0"/>
        <w:autoSpaceDN w:val="0"/>
        <w:adjustRightInd w:val="0"/>
        <w:rPr>
          <w:rFonts w:cs="Arial"/>
          <w:b/>
          <w:bCs/>
          <w:color w:val="000000"/>
        </w:rPr>
      </w:pPr>
      <w:r>
        <w:rPr>
          <w:rFonts w:cs="Arial"/>
          <w:b/>
          <w:bCs/>
          <w:color w:val="000000"/>
        </w:rPr>
        <w:t>Policy</w:t>
      </w:r>
    </w:p>
    <w:p w14:paraId="62AB997C" w14:textId="77777777" w:rsidR="00CD75B6" w:rsidRDefault="00CD75B6">
      <w:pPr>
        <w:widowControl w:val="0"/>
        <w:autoSpaceDE w:val="0"/>
        <w:autoSpaceDN w:val="0"/>
        <w:adjustRightInd w:val="0"/>
        <w:rPr>
          <w:rFonts w:cs="Arial"/>
          <w:b/>
          <w:bCs/>
          <w:color w:val="000000"/>
        </w:rPr>
      </w:pPr>
    </w:p>
    <w:p w14:paraId="6C2C077B" w14:textId="77777777" w:rsidR="00CD75B6" w:rsidRDefault="00CD75B6">
      <w:pPr>
        <w:widowControl w:val="0"/>
        <w:autoSpaceDE w:val="0"/>
        <w:autoSpaceDN w:val="0"/>
        <w:adjustRightInd w:val="0"/>
        <w:rPr>
          <w:rFonts w:cs="Arial"/>
          <w:color w:val="000000"/>
          <w:spacing w:val="1"/>
        </w:rPr>
      </w:pPr>
      <w:r>
        <w:rPr>
          <w:rFonts w:cs="Arial"/>
          <w:color w:val="000000"/>
          <w:lang w:val="en-US"/>
        </w:rPr>
        <w:t>The National Planning Policy Framework sets out in paragraph 212 that ‘w</w:t>
      </w:r>
      <w:r>
        <w:rPr>
          <w:rFonts w:cs="Arial"/>
          <w:color w:val="000000"/>
          <w:spacing w:val="1"/>
        </w:rPr>
        <w:t>h</w:t>
      </w:r>
      <w:r>
        <w:rPr>
          <w:rFonts w:cs="Arial"/>
          <w:color w:val="000000"/>
          <w:spacing w:val="-2"/>
        </w:rPr>
        <w:t>e</w:t>
      </w:r>
      <w:r>
        <w:rPr>
          <w:rFonts w:cs="Arial"/>
          <w:color w:val="000000"/>
        </w:rPr>
        <w:t>n</w:t>
      </w:r>
      <w:r>
        <w:rPr>
          <w:rFonts w:cs="Arial"/>
          <w:color w:val="000000"/>
          <w:spacing w:val="-1"/>
        </w:rPr>
        <w:t xml:space="preserve"> </w:t>
      </w:r>
      <w:r>
        <w:rPr>
          <w:rFonts w:cs="Arial"/>
          <w:color w:val="000000"/>
        </w:rPr>
        <w:t>c</w:t>
      </w:r>
      <w:r>
        <w:rPr>
          <w:rFonts w:cs="Arial"/>
          <w:color w:val="000000"/>
          <w:spacing w:val="-1"/>
        </w:rPr>
        <w:t>o</w:t>
      </w:r>
      <w:r>
        <w:rPr>
          <w:rFonts w:cs="Arial"/>
          <w:color w:val="000000"/>
          <w:spacing w:val="1"/>
        </w:rPr>
        <w:t>n</w:t>
      </w:r>
      <w:r>
        <w:rPr>
          <w:rFonts w:cs="Arial"/>
          <w:color w:val="000000"/>
        </w:rPr>
        <w:t>s</w:t>
      </w:r>
      <w:r>
        <w:rPr>
          <w:rFonts w:cs="Arial"/>
          <w:color w:val="000000"/>
          <w:spacing w:val="-1"/>
        </w:rPr>
        <w:t>i</w:t>
      </w:r>
      <w:r>
        <w:rPr>
          <w:rFonts w:cs="Arial"/>
          <w:color w:val="000000"/>
          <w:spacing w:val="1"/>
        </w:rPr>
        <w:t>de</w:t>
      </w:r>
      <w:r>
        <w:rPr>
          <w:rFonts w:cs="Arial"/>
          <w:color w:val="000000"/>
          <w:spacing w:val="-1"/>
        </w:rPr>
        <w:t>ri</w:t>
      </w:r>
      <w:r>
        <w:rPr>
          <w:rFonts w:cs="Arial"/>
          <w:color w:val="000000"/>
          <w:spacing w:val="1"/>
        </w:rPr>
        <w:t>n</w:t>
      </w:r>
      <w:r>
        <w:rPr>
          <w:rFonts w:cs="Arial"/>
          <w:color w:val="000000"/>
        </w:rPr>
        <w:t>g</w:t>
      </w:r>
      <w:r>
        <w:rPr>
          <w:rFonts w:cs="Arial"/>
          <w:color w:val="000000"/>
          <w:spacing w:val="-1"/>
        </w:rPr>
        <w:t xml:space="preserve"> </w:t>
      </w:r>
      <w:r>
        <w:rPr>
          <w:rFonts w:cs="Arial"/>
          <w:color w:val="000000"/>
          <w:spacing w:val="1"/>
        </w:rPr>
        <w:t>t</w:t>
      </w:r>
      <w:r>
        <w:rPr>
          <w:rFonts w:cs="Arial"/>
          <w:color w:val="000000"/>
          <w:spacing w:val="-1"/>
        </w:rPr>
        <w:t>h</w:t>
      </w:r>
      <w:r>
        <w:rPr>
          <w:rFonts w:cs="Arial"/>
          <w:color w:val="000000"/>
        </w:rPr>
        <w:t xml:space="preserve">e </w:t>
      </w:r>
      <w:r>
        <w:rPr>
          <w:rFonts w:cs="Arial"/>
          <w:color w:val="000000"/>
          <w:spacing w:val="-3"/>
        </w:rPr>
        <w:t>i</w:t>
      </w:r>
      <w:r>
        <w:rPr>
          <w:rFonts w:cs="Arial"/>
          <w:color w:val="000000"/>
          <w:spacing w:val="2"/>
        </w:rPr>
        <w:t>m</w:t>
      </w:r>
      <w:r>
        <w:rPr>
          <w:rFonts w:cs="Arial"/>
          <w:color w:val="000000"/>
          <w:spacing w:val="1"/>
        </w:rPr>
        <w:t>pa</w:t>
      </w:r>
      <w:r>
        <w:rPr>
          <w:rFonts w:cs="Arial"/>
          <w:color w:val="000000"/>
          <w:spacing w:val="-2"/>
        </w:rPr>
        <w:t>c</w:t>
      </w:r>
      <w:r>
        <w:rPr>
          <w:rFonts w:cs="Arial"/>
          <w:color w:val="000000"/>
        </w:rPr>
        <w:t xml:space="preserve">t </w:t>
      </w:r>
      <w:r>
        <w:rPr>
          <w:rFonts w:cs="Arial"/>
          <w:color w:val="000000"/>
          <w:spacing w:val="1"/>
        </w:rPr>
        <w:t>o</w:t>
      </w:r>
      <w:r>
        <w:rPr>
          <w:rFonts w:cs="Arial"/>
          <w:color w:val="000000"/>
        </w:rPr>
        <w:t>f</w:t>
      </w:r>
      <w:r>
        <w:rPr>
          <w:rFonts w:cs="Arial"/>
          <w:color w:val="000000"/>
          <w:spacing w:val="-3"/>
        </w:rPr>
        <w:t xml:space="preserve"> </w:t>
      </w:r>
      <w:r>
        <w:rPr>
          <w:rFonts w:cs="Arial"/>
          <w:color w:val="000000"/>
        </w:rPr>
        <w:t>a</w:t>
      </w:r>
      <w:r>
        <w:rPr>
          <w:rFonts w:cs="Arial"/>
          <w:color w:val="000000"/>
          <w:spacing w:val="-1"/>
        </w:rPr>
        <w:t xml:space="preserve"> </w:t>
      </w:r>
      <w:r>
        <w:rPr>
          <w:rFonts w:cs="Arial"/>
          <w:color w:val="000000"/>
          <w:spacing w:val="1"/>
        </w:rPr>
        <w:t>p</w:t>
      </w:r>
      <w:r>
        <w:rPr>
          <w:rFonts w:cs="Arial"/>
          <w:color w:val="000000"/>
          <w:spacing w:val="-1"/>
        </w:rPr>
        <w:t>r</w:t>
      </w:r>
      <w:r>
        <w:rPr>
          <w:rFonts w:cs="Arial"/>
          <w:color w:val="000000"/>
          <w:spacing w:val="1"/>
        </w:rPr>
        <w:t>o</w:t>
      </w:r>
      <w:r>
        <w:rPr>
          <w:rFonts w:cs="Arial"/>
          <w:color w:val="000000"/>
          <w:spacing w:val="-2"/>
        </w:rPr>
        <w:t>p</w:t>
      </w:r>
      <w:r>
        <w:rPr>
          <w:rFonts w:cs="Arial"/>
          <w:color w:val="000000"/>
          <w:spacing w:val="1"/>
        </w:rPr>
        <w:t>o</w:t>
      </w:r>
      <w:r>
        <w:rPr>
          <w:rFonts w:cs="Arial"/>
          <w:color w:val="000000"/>
        </w:rPr>
        <w:t>s</w:t>
      </w:r>
      <w:r>
        <w:rPr>
          <w:rFonts w:cs="Arial"/>
          <w:color w:val="000000"/>
          <w:spacing w:val="1"/>
        </w:rPr>
        <w:t>e</w:t>
      </w:r>
      <w:r>
        <w:rPr>
          <w:rFonts w:cs="Arial"/>
          <w:color w:val="000000"/>
        </w:rPr>
        <w:t>d</w:t>
      </w:r>
      <w:r>
        <w:rPr>
          <w:rFonts w:cs="Arial"/>
          <w:color w:val="000000"/>
          <w:spacing w:val="-1"/>
        </w:rPr>
        <w:t xml:space="preserve"> d</w:t>
      </w:r>
      <w:r>
        <w:rPr>
          <w:rFonts w:cs="Arial"/>
          <w:color w:val="000000"/>
          <w:spacing w:val="1"/>
        </w:rPr>
        <w:t>e</w:t>
      </w:r>
      <w:r>
        <w:rPr>
          <w:rFonts w:cs="Arial"/>
          <w:color w:val="000000"/>
        </w:rPr>
        <w:t>v</w:t>
      </w:r>
      <w:r>
        <w:rPr>
          <w:rFonts w:cs="Arial"/>
          <w:color w:val="000000"/>
          <w:spacing w:val="1"/>
        </w:rPr>
        <w:t>e</w:t>
      </w:r>
      <w:r>
        <w:rPr>
          <w:rFonts w:cs="Arial"/>
          <w:color w:val="000000"/>
          <w:spacing w:val="-1"/>
        </w:rPr>
        <w:t>l</w:t>
      </w:r>
      <w:r>
        <w:rPr>
          <w:rFonts w:cs="Arial"/>
          <w:color w:val="000000"/>
          <w:spacing w:val="1"/>
        </w:rPr>
        <w:t>o</w:t>
      </w:r>
      <w:r>
        <w:rPr>
          <w:rFonts w:cs="Arial"/>
          <w:color w:val="000000"/>
          <w:spacing w:val="-2"/>
        </w:rPr>
        <w:t>p</w:t>
      </w:r>
      <w:r>
        <w:rPr>
          <w:rFonts w:cs="Arial"/>
          <w:color w:val="000000"/>
          <w:spacing w:val="2"/>
        </w:rPr>
        <w:t>m</w:t>
      </w:r>
      <w:r>
        <w:rPr>
          <w:rFonts w:cs="Arial"/>
          <w:color w:val="000000"/>
          <w:spacing w:val="-1"/>
        </w:rPr>
        <w:t>e</w:t>
      </w:r>
      <w:r>
        <w:rPr>
          <w:rFonts w:cs="Arial"/>
          <w:color w:val="000000"/>
          <w:spacing w:val="1"/>
        </w:rPr>
        <w:t>n</w:t>
      </w:r>
      <w:r>
        <w:rPr>
          <w:rFonts w:cs="Arial"/>
          <w:color w:val="000000"/>
        </w:rPr>
        <w:t>t</w:t>
      </w:r>
      <w:r>
        <w:rPr>
          <w:rFonts w:cs="Arial"/>
          <w:color w:val="000000"/>
          <w:spacing w:val="-3"/>
        </w:rPr>
        <w:t xml:space="preserve"> </w:t>
      </w:r>
      <w:r>
        <w:rPr>
          <w:rFonts w:cs="Arial"/>
          <w:color w:val="000000"/>
          <w:spacing w:val="1"/>
        </w:rPr>
        <w:t>o</w:t>
      </w:r>
      <w:r>
        <w:rPr>
          <w:rFonts w:cs="Arial"/>
          <w:color w:val="000000"/>
        </w:rPr>
        <w:t>n</w:t>
      </w:r>
      <w:r>
        <w:rPr>
          <w:rFonts w:cs="Arial"/>
          <w:color w:val="000000"/>
          <w:spacing w:val="1"/>
        </w:rPr>
        <w:t xml:space="preserve"> </w:t>
      </w:r>
      <w:r>
        <w:rPr>
          <w:rFonts w:cs="Arial"/>
          <w:color w:val="000000"/>
          <w:spacing w:val="-2"/>
        </w:rPr>
        <w:t>t</w:t>
      </w:r>
      <w:r>
        <w:rPr>
          <w:rFonts w:cs="Arial"/>
          <w:color w:val="000000"/>
          <w:spacing w:val="1"/>
        </w:rPr>
        <w:t>h</w:t>
      </w:r>
      <w:r>
        <w:rPr>
          <w:rFonts w:cs="Arial"/>
          <w:color w:val="000000"/>
        </w:rPr>
        <w:t>e s</w:t>
      </w:r>
      <w:r>
        <w:rPr>
          <w:rFonts w:cs="Arial"/>
          <w:color w:val="000000"/>
          <w:spacing w:val="-3"/>
        </w:rPr>
        <w:t>i</w:t>
      </w:r>
      <w:r>
        <w:rPr>
          <w:rFonts w:cs="Arial"/>
          <w:color w:val="000000"/>
          <w:spacing w:val="-1"/>
        </w:rPr>
        <w:t>g</w:t>
      </w:r>
      <w:r>
        <w:rPr>
          <w:rFonts w:cs="Arial"/>
          <w:color w:val="000000"/>
          <w:spacing w:val="1"/>
        </w:rPr>
        <w:t>n</w:t>
      </w:r>
      <w:r>
        <w:rPr>
          <w:rFonts w:cs="Arial"/>
          <w:color w:val="000000"/>
          <w:spacing w:val="-1"/>
        </w:rPr>
        <w:t>i</w:t>
      </w:r>
      <w:r>
        <w:rPr>
          <w:rFonts w:cs="Arial"/>
          <w:color w:val="000000"/>
          <w:spacing w:val="1"/>
        </w:rPr>
        <w:t>f</w:t>
      </w:r>
      <w:r>
        <w:rPr>
          <w:rFonts w:cs="Arial"/>
          <w:color w:val="000000"/>
          <w:spacing w:val="-1"/>
        </w:rPr>
        <w:t>i</w:t>
      </w:r>
      <w:r>
        <w:rPr>
          <w:rFonts w:cs="Arial"/>
          <w:color w:val="000000"/>
        </w:rPr>
        <w:t>c</w:t>
      </w:r>
      <w:r>
        <w:rPr>
          <w:rFonts w:cs="Arial"/>
          <w:color w:val="000000"/>
          <w:spacing w:val="1"/>
        </w:rPr>
        <w:t>an</w:t>
      </w:r>
      <w:r>
        <w:rPr>
          <w:rFonts w:cs="Arial"/>
          <w:color w:val="000000"/>
        </w:rPr>
        <w:t>ce</w:t>
      </w:r>
      <w:r>
        <w:rPr>
          <w:rFonts w:cs="Arial"/>
          <w:color w:val="000000"/>
          <w:spacing w:val="-2"/>
        </w:rPr>
        <w:t xml:space="preserve"> </w:t>
      </w:r>
      <w:r>
        <w:rPr>
          <w:rFonts w:cs="Arial"/>
          <w:color w:val="000000"/>
          <w:spacing w:val="1"/>
        </w:rPr>
        <w:t>o</w:t>
      </w:r>
      <w:r>
        <w:rPr>
          <w:rFonts w:cs="Arial"/>
          <w:color w:val="000000"/>
        </w:rPr>
        <w:t>f</w:t>
      </w:r>
      <w:r>
        <w:rPr>
          <w:rFonts w:cs="Arial"/>
          <w:color w:val="000000"/>
          <w:spacing w:val="-3"/>
        </w:rPr>
        <w:t xml:space="preserve"> </w:t>
      </w:r>
      <w:r>
        <w:rPr>
          <w:rFonts w:cs="Arial"/>
          <w:color w:val="000000"/>
        </w:rPr>
        <w:t xml:space="preserve">a </w:t>
      </w:r>
      <w:r>
        <w:rPr>
          <w:rFonts w:cs="Arial"/>
          <w:color w:val="000000"/>
          <w:spacing w:val="1"/>
        </w:rPr>
        <w:t xml:space="preserve">designated heritage asset, great weight should be given to the asset’s conservation. This is irrespective of whether any potential harm amounts to substantial harm, total loss or less than substantial harm to its significance.’ </w:t>
      </w:r>
    </w:p>
    <w:p w14:paraId="7027E6ED" w14:textId="77777777" w:rsidR="00CD75B6" w:rsidRDefault="00CD75B6">
      <w:pPr>
        <w:widowControl w:val="0"/>
        <w:autoSpaceDE w:val="0"/>
        <w:autoSpaceDN w:val="0"/>
        <w:adjustRightInd w:val="0"/>
        <w:rPr>
          <w:rFonts w:cs="Arial"/>
          <w:color w:val="000000"/>
          <w:spacing w:val="1"/>
        </w:rPr>
      </w:pPr>
    </w:p>
    <w:p w14:paraId="45D30C02" w14:textId="77777777" w:rsidR="00CD75B6" w:rsidRDefault="00CD75B6">
      <w:pPr>
        <w:widowControl w:val="0"/>
        <w:autoSpaceDE w:val="0"/>
        <w:autoSpaceDN w:val="0"/>
        <w:adjustRightInd w:val="0"/>
        <w:rPr>
          <w:rFonts w:cs="Arial"/>
          <w:color w:val="000000"/>
        </w:rPr>
      </w:pPr>
      <w:r>
        <w:rPr>
          <w:rFonts w:cs="Arial"/>
          <w:color w:val="000000"/>
          <w:spacing w:val="1"/>
        </w:rPr>
        <w:t>Paragraph 213 sets out that any harm to, or loss of, the significance of a designated heritage asset should require clear and convincing justification.</w:t>
      </w:r>
    </w:p>
    <w:p w14:paraId="4C807095" w14:textId="77777777" w:rsidR="00CD75B6" w:rsidRDefault="00CD75B6">
      <w:pPr>
        <w:widowControl w:val="0"/>
        <w:autoSpaceDE w:val="0"/>
        <w:autoSpaceDN w:val="0"/>
        <w:adjustRightInd w:val="0"/>
        <w:rPr>
          <w:rFonts w:cs="Arial"/>
          <w:color w:val="000000"/>
        </w:rPr>
      </w:pPr>
    </w:p>
    <w:p w14:paraId="766BE562" w14:textId="77777777" w:rsidR="00CD75B6" w:rsidRDefault="00CD75B6">
      <w:pPr>
        <w:widowControl w:val="0"/>
        <w:autoSpaceDE w:val="0"/>
        <w:autoSpaceDN w:val="0"/>
        <w:adjustRightInd w:val="0"/>
        <w:rPr>
          <w:rFonts w:cs="Arial"/>
          <w:b/>
          <w:bCs/>
          <w:color w:val="000000"/>
        </w:rPr>
      </w:pPr>
      <w:r>
        <w:rPr>
          <w:rFonts w:cs="Arial"/>
          <w:b/>
          <w:bCs/>
          <w:color w:val="000000"/>
        </w:rPr>
        <w:t>Historic England's Position</w:t>
      </w:r>
    </w:p>
    <w:p w14:paraId="244BD7F7" w14:textId="77777777" w:rsidR="00CD75B6" w:rsidRDefault="00CD75B6">
      <w:pPr>
        <w:widowControl w:val="0"/>
        <w:autoSpaceDE w:val="0"/>
        <w:autoSpaceDN w:val="0"/>
        <w:adjustRightInd w:val="0"/>
        <w:rPr>
          <w:rFonts w:cs="Arial"/>
          <w:b/>
          <w:bCs/>
          <w:color w:val="000000"/>
        </w:rPr>
      </w:pPr>
    </w:p>
    <w:p w14:paraId="0CA8DFD9" w14:textId="77777777" w:rsidR="00CD75B6" w:rsidRDefault="00CD75B6">
      <w:pPr>
        <w:widowControl w:val="0"/>
        <w:autoSpaceDE w:val="0"/>
        <w:autoSpaceDN w:val="0"/>
        <w:adjustRightInd w:val="0"/>
        <w:rPr>
          <w:rFonts w:cs="Arial"/>
          <w:b/>
          <w:bCs/>
          <w:color w:val="000000"/>
        </w:rPr>
      </w:pPr>
      <w:r>
        <w:rPr>
          <w:rFonts w:cs="Arial"/>
          <w:color w:val="000000"/>
          <w:spacing w:val="1"/>
        </w:rPr>
        <w:t>Overall, we support the proposals for the East Terrace,</w:t>
      </w:r>
      <w:r>
        <w:rPr>
          <w:rFonts w:cs="Arial"/>
          <w:color w:val="000000"/>
        </w:rPr>
        <w:t xml:space="preserve"> which will contribute to the restoration and enhancement of the setting of the Main House and RPG. However, as set out above, we potentially query the contribution the introduction of the balustrade will make to the latter.</w:t>
      </w:r>
    </w:p>
    <w:p w14:paraId="45A03563" w14:textId="77777777" w:rsidR="00CD75B6" w:rsidRDefault="00CD75B6">
      <w:pPr>
        <w:widowControl w:val="0"/>
        <w:autoSpaceDE w:val="0"/>
        <w:autoSpaceDN w:val="0"/>
        <w:adjustRightInd w:val="0"/>
        <w:rPr>
          <w:rFonts w:cs="Arial"/>
          <w:b/>
          <w:bCs/>
          <w:color w:val="000000"/>
        </w:rPr>
      </w:pPr>
    </w:p>
    <w:p w14:paraId="2E2D0197" w14:textId="77777777" w:rsidR="00CD75B6" w:rsidRDefault="00CD75B6">
      <w:pPr>
        <w:widowControl w:val="0"/>
        <w:autoSpaceDE w:val="0"/>
        <w:autoSpaceDN w:val="0"/>
        <w:adjustRightInd w:val="0"/>
        <w:rPr>
          <w:rFonts w:cs="Arial"/>
          <w:b/>
          <w:bCs/>
          <w:color w:val="000000"/>
        </w:rPr>
      </w:pPr>
      <w:r>
        <w:rPr>
          <w:rFonts w:cs="Arial"/>
          <w:b/>
          <w:bCs/>
          <w:color w:val="000000"/>
        </w:rPr>
        <w:t>Recommendation</w:t>
      </w:r>
    </w:p>
    <w:p w14:paraId="0FA2C38B" w14:textId="77777777" w:rsidR="00CD75B6" w:rsidRDefault="00CD75B6">
      <w:pPr>
        <w:widowControl w:val="0"/>
        <w:autoSpaceDE w:val="0"/>
        <w:autoSpaceDN w:val="0"/>
        <w:adjustRightInd w:val="0"/>
        <w:rPr>
          <w:rFonts w:cs="Arial"/>
          <w:color w:val="000000"/>
        </w:rPr>
      </w:pPr>
    </w:p>
    <w:p w14:paraId="72345C1F" w14:textId="77777777" w:rsidR="00CD75B6" w:rsidRDefault="00CD75B6">
      <w:pPr>
        <w:widowControl w:val="0"/>
        <w:autoSpaceDE w:val="0"/>
        <w:autoSpaceDN w:val="0"/>
        <w:adjustRightInd w:val="0"/>
        <w:rPr>
          <w:rFonts w:cs="Arial"/>
          <w:color w:val="000000"/>
        </w:rPr>
      </w:pPr>
      <w:r>
        <w:rPr>
          <w:rFonts w:cs="Arial"/>
          <w:color w:val="000000"/>
        </w:rPr>
        <w:t>We consider that the issues and safeguards outlined in our advice need to be addressed in order for the applications to meet the requirements of paragraphs 212 and 213 of the NPPF.</w:t>
      </w:r>
    </w:p>
    <w:p w14:paraId="5DBF0D0B" w14:textId="77777777" w:rsidR="00CD75B6" w:rsidRDefault="00CD75B6">
      <w:pPr>
        <w:widowControl w:val="0"/>
        <w:autoSpaceDE w:val="0"/>
        <w:autoSpaceDN w:val="0"/>
        <w:adjustRightInd w:val="0"/>
        <w:rPr>
          <w:rFonts w:cs="Arial"/>
          <w:color w:val="000000"/>
        </w:rPr>
      </w:pPr>
    </w:p>
    <w:p w14:paraId="05643B89" w14:textId="77777777" w:rsidR="00CD75B6" w:rsidRDefault="00CD75B6">
      <w:pPr>
        <w:widowControl w:val="0"/>
        <w:autoSpaceDE w:val="0"/>
        <w:autoSpaceDN w:val="0"/>
        <w:adjustRightInd w:val="0"/>
        <w:rPr>
          <w:rFonts w:cs="Arial"/>
          <w:color w:val="000000"/>
        </w:rPr>
      </w:pPr>
      <w:r>
        <w:rPr>
          <w:rFonts w:cs="Arial"/>
          <w:color w:val="000000"/>
        </w:rPr>
        <w:t>In determining these applications, you should bear in mind the statutory duty of sections 16(2) and 66(1) of the Planning (Listed Buildings and Conservation Areas) Act 1990 to have special regard to the desirability of preserving listed buildings or their setting or any features of special architectural or historic interest which they possess.</w:t>
      </w:r>
    </w:p>
    <w:p w14:paraId="714CB6C1" w14:textId="77777777" w:rsidR="00CD75B6" w:rsidRDefault="00CD75B6">
      <w:pPr>
        <w:widowControl w:val="0"/>
        <w:autoSpaceDE w:val="0"/>
        <w:autoSpaceDN w:val="0"/>
        <w:adjustRightInd w:val="0"/>
        <w:rPr>
          <w:rFonts w:cs="Arial"/>
          <w:color w:val="000000"/>
        </w:rPr>
      </w:pPr>
    </w:p>
    <w:p w14:paraId="270C0EF7" w14:textId="77777777" w:rsidR="00CD75B6" w:rsidRDefault="00CD75B6">
      <w:pPr>
        <w:widowControl w:val="0"/>
        <w:autoSpaceDE w:val="0"/>
        <w:autoSpaceDN w:val="0"/>
        <w:adjustRightInd w:val="0"/>
        <w:rPr>
          <w:rFonts w:cs="Arial"/>
          <w:color w:val="000000"/>
        </w:rPr>
      </w:pPr>
      <w:r>
        <w:rPr>
          <w:rFonts w:cs="Arial"/>
          <w:color w:val="000000"/>
        </w:rPr>
        <w:t>Your authority should take these representations into account and seek amendments, safeguards or further information as set out in our advice. If there are any material changes to the proposals, or you would like further advice, please contact us.</w:t>
      </w:r>
    </w:p>
    <w:p w14:paraId="14A6CF28" w14:textId="77777777" w:rsidR="00CD75B6" w:rsidRDefault="00CD75B6">
      <w:pPr>
        <w:widowControl w:val="0"/>
        <w:autoSpaceDE w:val="0"/>
        <w:autoSpaceDN w:val="0"/>
        <w:adjustRightInd w:val="0"/>
        <w:rPr>
          <w:rFonts w:cs="Arial"/>
          <w:color w:val="000000"/>
        </w:rPr>
      </w:pPr>
    </w:p>
    <w:p w14:paraId="5E65F890" w14:textId="77777777" w:rsidR="00CD75B6" w:rsidRDefault="00CD75B6">
      <w:pPr>
        <w:widowControl w:val="0"/>
        <w:autoSpaceDE w:val="0"/>
        <w:autoSpaceDN w:val="0"/>
        <w:adjustRightInd w:val="0"/>
        <w:rPr>
          <w:rFonts w:cs="Arial"/>
          <w:color w:val="000000"/>
        </w:rPr>
      </w:pPr>
      <w:r>
        <w:rPr>
          <w:rFonts w:cs="Arial"/>
          <w:color w:val="000000"/>
        </w:rPr>
        <w:t>Yours sincerely</w:t>
      </w:r>
    </w:p>
    <w:p w14:paraId="08FD8DA6" w14:textId="77777777" w:rsidR="00CD75B6" w:rsidRDefault="00CD75B6">
      <w:pPr>
        <w:widowControl w:val="0"/>
        <w:autoSpaceDE w:val="0"/>
        <w:autoSpaceDN w:val="0"/>
        <w:adjustRightInd w:val="0"/>
        <w:rPr>
          <w:rFonts w:cs="Arial"/>
          <w:color w:val="000000"/>
        </w:rPr>
      </w:pPr>
    </w:p>
    <w:p w14:paraId="022FCAE9" w14:textId="77777777" w:rsidR="00CD75B6" w:rsidRDefault="00CD75B6">
      <w:pPr>
        <w:widowControl w:val="0"/>
        <w:autoSpaceDE w:val="0"/>
        <w:autoSpaceDN w:val="0"/>
        <w:adjustRightInd w:val="0"/>
        <w:rPr>
          <w:rFonts w:cs="Arial"/>
          <w:color w:val="000000"/>
        </w:rPr>
      </w:pPr>
    </w:p>
    <w:p w14:paraId="7E88098F" w14:textId="77777777" w:rsidR="00CD75B6" w:rsidRDefault="00CD75B6">
      <w:pPr>
        <w:widowControl w:val="0"/>
        <w:autoSpaceDE w:val="0"/>
        <w:autoSpaceDN w:val="0"/>
        <w:adjustRightInd w:val="0"/>
        <w:rPr>
          <w:rFonts w:cs="Arial"/>
          <w:color w:val="000000"/>
        </w:rPr>
      </w:pPr>
    </w:p>
    <w:p w14:paraId="43E3A6A4" w14:textId="77777777" w:rsidR="00CD75B6" w:rsidRDefault="00CD75B6">
      <w:pPr>
        <w:widowControl w:val="0"/>
        <w:autoSpaceDE w:val="0"/>
        <w:autoSpaceDN w:val="0"/>
        <w:adjustRightInd w:val="0"/>
        <w:rPr>
          <w:rFonts w:cs="Arial"/>
          <w:color w:val="000000"/>
        </w:rPr>
      </w:pPr>
      <w:r>
        <w:rPr>
          <w:rFonts w:cs="Arial"/>
          <w:b/>
          <w:bCs/>
          <w:color w:val="000000"/>
        </w:rPr>
        <w:t>Joanne</w:t>
      </w:r>
      <w:r>
        <w:rPr>
          <w:rFonts w:cs="Arial"/>
          <w:color w:val="000000"/>
        </w:rPr>
        <w:t xml:space="preserve"> </w:t>
      </w:r>
      <w:r>
        <w:rPr>
          <w:rFonts w:cs="Arial"/>
          <w:b/>
          <w:bCs/>
          <w:color w:val="000000"/>
        </w:rPr>
        <w:t>Fisher</w:t>
      </w:r>
    </w:p>
    <w:p w14:paraId="0F7CBD85" w14:textId="77777777" w:rsidR="00CD75B6" w:rsidRDefault="00CD75B6">
      <w:pPr>
        <w:widowControl w:val="0"/>
        <w:autoSpaceDE w:val="0"/>
        <w:autoSpaceDN w:val="0"/>
        <w:adjustRightInd w:val="0"/>
        <w:rPr>
          <w:rFonts w:cs="Arial"/>
          <w:color w:val="000000"/>
        </w:rPr>
      </w:pPr>
      <w:r>
        <w:rPr>
          <w:rFonts w:cs="Arial"/>
          <w:color w:val="000000"/>
        </w:rPr>
        <w:t>Inspector of Historic Buildings and Areas</w:t>
      </w:r>
    </w:p>
    <w:p w14:paraId="3F7F45EC" w14:textId="77777777" w:rsidR="00CD75B6" w:rsidRDefault="00CD75B6">
      <w:pPr>
        <w:widowControl w:val="0"/>
        <w:autoSpaceDE w:val="0"/>
        <w:autoSpaceDN w:val="0"/>
        <w:adjustRightInd w:val="0"/>
        <w:rPr>
          <w:rFonts w:cs="Arial"/>
          <w:color w:val="000000"/>
        </w:rPr>
      </w:pPr>
      <w:r>
        <w:rPr>
          <w:rFonts w:cs="Arial"/>
          <w:color w:val="000000"/>
        </w:rPr>
        <w:t>E-mail: Joanne.Fisher@historicengland.org.uk</w:t>
      </w:r>
    </w:p>
    <w:p w14:paraId="10AA47D4" w14:textId="77777777" w:rsidR="00CD75B6" w:rsidRDefault="00CD75B6">
      <w:pPr>
        <w:widowControl w:val="0"/>
        <w:autoSpaceDE w:val="0"/>
        <w:autoSpaceDN w:val="0"/>
        <w:adjustRightInd w:val="0"/>
        <w:rPr>
          <w:rFonts w:cs="Arial"/>
          <w:color w:val="000000"/>
        </w:rPr>
      </w:pPr>
    </w:p>
    <w:p w14:paraId="6F92425D" w14:textId="77777777" w:rsidR="00CD75B6" w:rsidRDefault="00CD75B6">
      <w:pPr>
        <w:widowControl w:val="0"/>
        <w:autoSpaceDE w:val="0"/>
        <w:autoSpaceDN w:val="0"/>
        <w:adjustRightInd w:val="0"/>
        <w:rPr>
          <w:rFonts w:cs="Arial"/>
          <w:color w:val="000000"/>
        </w:rPr>
      </w:pPr>
    </w:p>
    <w:p w14:paraId="5908EC62" w14:textId="77777777" w:rsidR="00CD75B6" w:rsidRDefault="00CD75B6">
      <w:pPr>
        <w:widowControl w:val="0"/>
        <w:autoSpaceDE w:val="0"/>
        <w:autoSpaceDN w:val="0"/>
        <w:adjustRightInd w:val="0"/>
        <w:rPr>
          <w:rFonts w:cs="Arial"/>
        </w:rPr>
      </w:pPr>
    </w:p>
    <w:p w14:paraId="0468541A" w14:textId="77777777"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A3FAE9" w14:textId="77777777" w:rsidR="009D76A3" w:rsidRDefault="009D76A3">
      <w:r>
        <w:separator/>
      </w:r>
    </w:p>
  </w:endnote>
  <w:endnote w:type="continuationSeparator" w:id="0">
    <w:p w14:paraId="433697FD" w14:textId="77777777" w:rsidR="009D76A3" w:rsidRDefault="009D7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500C7" w14:textId="77777777"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60" w:type="dxa"/>
      <w:jc w:val="center"/>
      <w:tblLook w:val="01E0" w:firstRow="1" w:lastRow="1" w:firstColumn="1" w:lastColumn="1" w:noHBand="0" w:noVBand="0"/>
    </w:tblPr>
    <w:tblGrid>
      <w:gridCol w:w="1242"/>
      <w:gridCol w:w="7168"/>
      <w:gridCol w:w="1466"/>
    </w:tblGrid>
    <w:tr w:rsidR="008E0A03" w:rsidRPr="002A71E7" w14:paraId="0376E96C" w14:textId="77777777" w:rsidTr="000C0BC9">
      <w:trPr>
        <w:cantSplit/>
        <w:trHeight w:val="566"/>
        <w:jc w:val="center"/>
      </w:trPr>
      <w:tc>
        <w:tcPr>
          <w:tcW w:w="1242" w:type="dxa"/>
          <w:noWrap/>
          <w:vAlign w:val="center"/>
        </w:tcPr>
        <w:p w14:paraId="272B7AB8" w14:textId="77777777" w:rsidR="00C46DA0" w:rsidRPr="002A71E7" w:rsidRDefault="00BB6B58" w:rsidP="00B722B7">
          <w:pPr>
            <w:pStyle w:val="Footer"/>
            <w:jc w:val="center"/>
          </w:pPr>
          <w:r w:rsidRPr="00287BB8">
            <w:rPr>
              <w:rFonts w:ascii="Times New Roman" w:hAnsi="Times New Roman"/>
              <w:noProof/>
              <w:szCs w:val="20"/>
            </w:rPr>
            <w:pict w14:anchorId="4FC41B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65pt;height:31.1pt;visibility:visible">
                <v:imagedata r:id="rId1" o:title=""/>
              </v:shape>
            </w:pict>
          </w:r>
        </w:p>
      </w:tc>
      <w:tc>
        <w:tcPr>
          <w:tcW w:w="7152" w:type="dxa"/>
          <w:noWrap/>
          <w:tcMar>
            <w:left w:w="0" w:type="dxa"/>
            <w:right w:w="0" w:type="dxa"/>
          </w:tcMar>
          <w:vAlign w:val="center"/>
        </w:tcPr>
        <w:p w14:paraId="30D1949B" w14:textId="77777777" w:rsidR="00CD75B6" w:rsidRDefault="00CD75B6">
          <w:pPr>
            <w:widowControl w:val="0"/>
            <w:tabs>
              <w:tab w:val="center" w:pos="4153"/>
              <w:tab w:val="right" w:pos="8306"/>
            </w:tabs>
            <w:autoSpaceDE w:val="0"/>
            <w:autoSpaceDN w:val="0"/>
            <w:adjustRightInd w:val="0"/>
            <w:spacing w:after="90"/>
            <w:jc w:val="center"/>
            <w:rPr>
              <w:rFonts w:cs="Arial"/>
              <w:sz w:val="16"/>
              <w:szCs w:val="16"/>
            </w:rPr>
          </w:pPr>
          <w:bookmarkStart w:id="2" w:name="region_footer"/>
          <w:bookmarkEnd w:id="2"/>
        </w:p>
        <w:p w14:paraId="733EB9CD" w14:textId="77777777" w:rsidR="00CD75B6" w:rsidRDefault="00CD75B6">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1ST FLOOR FERMENTATION NORTH  FINZELS REACH  HAWKINS LANE  BRISTOL  BS1 6JQ</w:t>
          </w:r>
        </w:p>
        <w:p w14:paraId="486ACFDA" w14:textId="77777777" w:rsidR="00CD75B6" w:rsidRDefault="00CD75B6">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0117 975 1308</w:t>
          </w:r>
        </w:p>
        <w:p w14:paraId="44B4CB11" w14:textId="77777777" w:rsidR="00CD75B6" w:rsidRDefault="00CD75B6">
          <w:pPr>
            <w:widowControl w:val="0"/>
            <w:tabs>
              <w:tab w:val="center" w:pos="4153"/>
              <w:tab w:val="right" w:pos="8306"/>
            </w:tabs>
            <w:autoSpaceDE w:val="0"/>
            <w:autoSpaceDN w:val="0"/>
            <w:adjustRightInd w:val="0"/>
            <w:jc w:val="center"/>
          </w:pPr>
          <w:r>
            <w:rPr>
              <w:rFonts w:cs="Arial"/>
              <w:i/>
              <w:iCs/>
              <w:sz w:val="16"/>
              <w:szCs w:val="16"/>
            </w:rPr>
            <w:t>HistoricEngland.org.uk</w:t>
          </w:r>
        </w:p>
        <w:p w14:paraId="4A0F9F10" w14:textId="77777777" w:rsidR="008E0A03" w:rsidRPr="00287BB8" w:rsidRDefault="008E0A03" w:rsidP="00197A11">
          <w:pPr>
            <w:pStyle w:val="Footer"/>
            <w:widowControl w:val="0"/>
            <w:jc w:val="center"/>
            <w:rPr>
              <w:sz w:val="16"/>
              <w:szCs w:val="16"/>
            </w:rPr>
          </w:pPr>
        </w:p>
      </w:tc>
      <w:tc>
        <w:tcPr>
          <w:tcW w:w="1466" w:type="dxa"/>
          <w:noWrap/>
          <w:vAlign w:val="center"/>
        </w:tcPr>
        <w:p w14:paraId="545607D2" w14:textId="77777777" w:rsidR="008E0A03" w:rsidRPr="002A71E7" w:rsidRDefault="008E0A03" w:rsidP="00B722B7">
          <w:pPr>
            <w:pStyle w:val="Footer"/>
            <w:jc w:val="center"/>
          </w:pPr>
        </w:p>
      </w:tc>
    </w:tr>
    <w:tr w:rsidR="00B722B7" w:rsidRPr="002A71E7" w14:paraId="15245EDB" w14:textId="77777777" w:rsidTr="000C0BC9">
      <w:trPr>
        <w:cantSplit/>
        <w:trHeight w:val="57"/>
        <w:jc w:val="center"/>
      </w:trPr>
      <w:tc>
        <w:tcPr>
          <w:tcW w:w="9860" w:type="dxa"/>
          <w:gridSpan w:val="3"/>
          <w:noWrap/>
          <w:vAlign w:val="center"/>
        </w:tcPr>
        <w:p w14:paraId="2EBDA117" w14:textId="77777777" w:rsidR="00CD75B6" w:rsidRDefault="00CD75B6">
          <w:pPr>
            <w:widowControl w:val="0"/>
            <w:autoSpaceDE w:val="0"/>
            <w:autoSpaceDN w:val="0"/>
            <w:adjustRightInd w:val="0"/>
            <w:jc w:val="center"/>
          </w:pPr>
          <w:bookmarkStart w:id="3" w:name="module_footer"/>
          <w:bookmarkStart w:id="4" w:name="template_footer"/>
          <w:bookmarkEnd w:id="3"/>
          <w:bookmarkEnd w:id="4"/>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14:paraId="64655392" w14:textId="77777777" w:rsidR="00CD75B6" w:rsidRDefault="00CD75B6">
          <w:pPr>
            <w:widowControl w:val="0"/>
            <w:autoSpaceDE w:val="0"/>
            <w:autoSpaceDN w:val="0"/>
            <w:adjustRightInd w:val="0"/>
            <w:rPr>
              <w:rFonts w:ascii="Microsoft Sans Serif" w:hAnsi="Microsoft Sans Serif" w:cs="Microsoft Sans Serif"/>
              <w:sz w:val="17"/>
              <w:szCs w:val="17"/>
            </w:rPr>
          </w:pPr>
        </w:p>
        <w:p w14:paraId="03E57774" w14:textId="77777777" w:rsidR="00B722B7" w:rsidRPr="002A71E7" w:rsidRDefault="00B722B7" w:rsidP="00B722B7">
          <w:pPr>
            <w:pStyle w:val="Footer"/>
            <w:widowControl w:val="0"/>
            <w:jc w:val="center"/>
          </w:pPr>
        </w:p>
      </w:tc>
    </w:tr>
  </w:tbl>
  <w:p w14:paraId="2F57B680" w14:textId="77777777"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84794" w14:textId="77777777"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832729" w14:textId="77777777" w:rsidR="009D76A3" w:rsidRDefault="009D76A3">
      <w:r>
        <w:separator/>
      </w:r>
    </w:p>
  </w:footnote>
  <w:footnote w:type="continuationSeparator" w:id="0">
    <w:p w14:paraId="6C90AE17" w14:textId="77777777" w:rsidR="009D76A3" w:rsidRDefault="009D76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71A80" w14:textId="77777777"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14:paraId="02854D02" w14:textId="77777777" w:rsidTr="009F3015">
      <w:trPr>
        <w:cantSplit/>
        <w:trHeight w:hRule="exact" w:val="1707"/>
      </w:trPr>
      <w:tc>
        <w:tcPr>
          <w:tcW w:w="9286" w:type="dxa"/>
          <w:tcBorders>
            <w:top w:val="nil"/>
            <w:left w:val="nil"/>
            <w:bottom w:val="nil"/>
            <w:right w:val="nil"/>
          </w:tcBorders>
          <w:vAlign w:val="center"/>
        </w:tcPr>
        <w:p w14:paraId="7EA7B2DA" w14:textId="686DF5E6"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w14:anchorId="1F13A5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55pt;height:64.65pt;visibility:visible">
                <v:imagedata r:id="rId1" o:title=""/>
              </v:shape>
            </w:pict>
          </w:r>
          <w:r w:rsidR="008E0A03">
            <w:br/>
          </w:r>
          <w:bookmarkStart w:id="1" w:name="region_header"/>
          <w:bookmarkEnd w:id="1"/>
          <w:r w:rsidR="00CD75B6">
            <w:t xml:space="preserve"> </w:t>
          </w:r>
          <w:r w:rsidR="002D5540">
            <w:t xml:space="preserve"> </w:t>
          </w:r>
        </w:p>
      </w:tc>
    </w:tr>
  </w:tbl>
  <w:p w14:paraId="4EE80A49" w14:textId="77777777"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BC536" w14:textId="77777777"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404683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cryptProviderType="rsaAES" w:cryptAlgorithmClass="hash" w:cryptAlgorithmType="typeAny" w:cryptAlgorithmSid="14" w:cryptSpinCount="100000" w:hash="DSBuiWsqIuAjDAh7Omw9KuV9CiCGWAm8iBxRfX5oLnE1wLIJs6HkhuN1hnxsD1CV7gr73eYtcVGiDJ12oSEZ+A==" w:salt="CjP1pf5X2s3WbLeyMR3VIg=="/>
  <w:zoom w:percent="92"/>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J5j4raSGaBh16N9eNXssV0oPK3jqbNrwr/NihxUQU880afH2JRzRGIW3AYJFyv6SGxW7oNqCGwwXE8Nb8+0idg==" w:salt="90/slUULY3M0mFEKiVmfrg=="/>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7340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34CCC"/>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6A3"/>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CD75B6"/>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0EEE9F"/>
  <w15:chartTrackingRefBased/>
  <w15:docId w15:val="{855B7688-D0B2-48AA-95AD-042AF5C47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91F88-F962-4EFD-9F7F-4CBB3EF32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934</Words>
  <Characters>5327</Characters>
  <Application>Microsoft Office Word</Application>
  <DocSecurity>12</DocSecurity>
  <Lines>44</Lines>
  <Paragraphs>12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6249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Fisher, Joanne</dc:creator>
  <cp:keywords/>
  <cp:lastModifiedBy>Fisher, Joanne</cp:lastModifiedBy>
  <cp:revision>1</cp:revision>
  <cp:lastPrinted>2005-06-27T13:47:00Z</cp:lastPrinted>
  <dcterms:created xsi:type="dcterms:W3CDTF">2026-02-24T10:23:00Z</dcterms:created>
  <dcterms:modified xsi:type="dcterms:W3CDTF">2026-02-24T10:23:00Z</dcterms:modified>
</cp:coreProperties>
</file>