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E200EA">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E200EA">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PL/2025/10025</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9 Poulsen Close, Warminster, BA12 9QD</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Renovation and alteration of the existing conservatory to form a new kitchen, involving replacement of walls and roof, all contained within the original footprint.</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16DBCEB7" w:rsidR="00683C17" w:rsidRDefault="00683C17" w:rsidP="009C1702">
      <w:pPr>
        <w:spacing w:after="0" w:line="276" w:lineRule="auto"/>
        <w:jc w:val="both"/>
        <w:outlineLvl w:val="2"/>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t xml:space="preserve">SITE </w:t>
      </w:r>
      <w:r w:rsidR="00F1263F" w:rsidRPr="009C1702">
        <w:rPr>
          <w:rFonts w:ascii="Arial" w:eastAsia="Times New Roman" w:hAnsi="Arial" w:cs="Arial"/>
          <w:b/>
          <w:bCs/>
          <w:kern w:val="0"/>
          <w:sz w:val="22"/>
          <w:szCs w:val="22"/>
          <w:lang w:eastAsia="en-GB"/>
          <w14:ligatures w14:val="none"/>
        </w:rPr>
        <w:t>CONTEXT</w:t>
      </w:r>
    </w:p>
    <w:p w14:paraId="248323BE" w14:textId="77777777" w:rsidR="00CD71C2" w:rsidRDefault="00CD71C2" w:rsidP="009C1702">
      <w:pPr>
        <w:spacing w:after="0" w:line="276" w:lineRule="auto"/>
        <w:jc w:val="both"/>
        <w:outlineLvl w:val="2"/>
        <w:rPr>
          <w:rFonts w:ascii="Arial" w:eastAsia="Times New Roman" w:hAnsi="Arial" w:cs="Arial"/>
          <w:kern w:val="0"/>
          <w:sz w:val="22"/>
          <w:szCs w:val="22"/>
          <w:lang w:eastAsia="en-GB"/>
          <w14:ligatures w14:val="none"/>
        </w:rPr>
      </w:pPr>
    </w:p>
    <w:p w14:paraId="33415F6F" w14:textId="4B3D3693" w:rsidR="00CD71C2" w:rsidRDefault="00AF6E1D"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9 Paulson Close (the ‘site’) is a residential plot which forms the southern corner of </w:t>
      </w:r>
      <w:r w:rsidR="003B792C">
        <w:rPr>
          <w:rFonts w:ascii="Arial" w:eastAsia="Times New Roman" w:hAnsi="Arial" w:cs="Arial"/>
          <w:kern w:val="0"/>
          <w:sz w:val="22"/>
          <w:szCs w:val="22"/>
          <w:lang w:eastAsia="en-GB"/>
          <w14:ligatures w14:val="none"/>
        </w:rPr>
        <w:t>Poulson Close</w:t>
      </w:r>
      <w:r w:rsidR="00284BD1">
        <w:rPr>
          <w:rFonts w:ascii="Arial" w:eastAsia="Times New Roman" w:hAnsi="Arial" w:cs="Arial"/>
          <w:kern w:val="0"/>
          <w:sz w:val="22"/>
          <w:szCs w:val="22"/>
          <w:lang w:eastAsia="en-GB"/>
          <w14:ligatures w14:val="none"/>
        </w:rPr>
        <w:t>,</w:t>
      </w:r>
      <w:r w:rsidR="00D47975">
        <w:rPr>
          <w:rFonts w:ascii="Arial" w:eastAsia="Times New Roman" w:hAnsi="Arial" w:cs="Arial"/>
          <w:kern w:val="0"/>
          <w:sz w:val="22"/>
          <w:szCs w:val="22"/>
          <w:lang w:eastAsia="en-GB"/>
          <w14:ligatures w14:val="none"/>
        </w:rPr>
        <w:t xml:space="preserve"> a modern suburban cul-de-sac situated within the </w:t>
      </w:r>
      <w:r w:rsidR="003B01C1">
        <w:rPr>
          <w:rFonts w:ascii="Arial" w:eastAsia="Times New Roman" w:hAnsi="Arial" w:cs="Arial"/>
          <w:kern w:val="0"/>
          <w:sz w:val="22"/>
          <w:szCs w:val="22"/>
          <w:lang w:eastAsia="en-GB"/>
          <w14:ligatures w14:val="none"/>
        </w:rPr>
        <w:t xml:space="preserve">southern area of Warminster (designated a Market Town in the Core Strategy). </w:t>
      </w:r>
    </w:p>
    <w:p w14:paraId="407A1835" w14:textId="77777777" w:rsidR="003B01C1" w:rsidRDefault="003B01C1" w:rsidP="009C1702">
      <w:pPr>
        <w:spacing w:after="0" w:line="276" w:lineRule="auto"/>
        <w:jc w:val="both"/>
        <w:outlineLvl w:val="2"/>
        <w:rPr>
          <w:rFonts w:ascii="Arial" w:eastAsia="Times New Roman" w:hAnsi="Arial" w:cs="Arial"/>
          <w:kern w:val="0"/>
          <w:sz w:val="22"/>
          <w:szCs w:val="22"/>
          <w:lang w:eastAsia="en-GB"/>
          <w14:ligatures w14:val="none"/>
        </w:rPr>
      </w:pPr>
    </w:p>
    <w:p w14:paraId="7585B19A" w14:textId="29B69785" w:rsidR="007330C9" w:rsidRPr="00D63A44" w:rsidRDefault="007330C9" w:rsidP="007330C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occupied by a </w:t>
      </w:r>
      <w:r w:rsidR="003E1E01">
        <w:rPr>
          <w:rFonts w:ascii="Arial" w:eastAsia="Times New Roman" w:hAnsi="Arial" w:cs="Arial"/>
          <w:kern w:val="0"/>
          <w:sz w:val="22"/>
          <w:szCs w:val="22"/>
          <w:lang w:eastAsia="en-GB"/>
          <w14:ligatures w14:val="none"/>
        </w:rPr>
        <w:t>2</w:t>
      </w:r>
      <w:r>
        <w:rPr>
          <w:rFonts w:ascii="Arial" w:eastAsia="Times New Roman" w:hAnsi="Arial" w:cs="Arial"/>
          <w:kern w:val="0"/>
          <w:sz w:val="22"/>
          <w:szCs w:val="22"/>
          <w:lang w:eastAsia="en-GB"/>
          <w14:ligatures w14:val="none"/>
        </w:rPr>
        <w:t>-bedroom bungalow</w:t>
      </w:r>
      <w:r w:rsidR="006B14A7">
        <w:rPr>
          <w:rFonts w:ascii="Arial" w:eastAsia="Times New Roman" w:hAnsi="Arial" w:cs="Arial"/>
          <w:kern w:val="0"/>
          <w:sz w:val="22"/>
          <w:szCs w:val="22"/>
          <w:lang w:eastAsia="en-GB"/>
          <w14:ligatures w14:val="none"/>
        </w:rPr>
        <w:t xml:space="preserve"> and its</w:t>
      </w:r>
      <w:r>
        <w:rPr>
          <w:rFonts w:ascii="Arial" w:eastAsia="Times New Roman" w:hAnsi="Arial" w:cs="Arial"/>
          <w:kern w:val="0"/>
          <w:sz w:val="22"/>
          <w:szCs w:val="22"/>
          <w:lang w:eastAsia="en-GB"/>
          <w14:ligatures w14:val="none"/>
        </w:rPr>
        <w:t xml:space="preserve"> associated</w:t>
      </w:r>
      <w:r w:rsidR="006B14A7">
        <w:rPr>
          <w:rFonts w:ascii="Arial" w:eastAsia="Times New Roman" w:hAnsi="Arial" w:cs="Arial"/>
          <w:kern w:val="0"/>
          <w:sz w:val="22"/>
          <w:szCs w:val="22"/>
          <w:lang w:eastAsia="en-GB"/>
          <w14:ligatures w14:val="none"/>
        </w:rPr>
        <w:t xml:space="preserve"> </w:t>
      </w:r>
      <w:r w:rsidR="00E134AF">
        <w:rPr>
          <w:rFonts w:ascii="Arial" w:eastAsia="Times New Roman" w:hAnsi="Arial" w:cs="Arial"/>
          <w:kern w:val="0"/>
          <w:sz w:val="22"/>
          <w:szCs w:val="22"/>
          <w:lang w:eastAsia="en-GB"/>
          <w14:ligatures w14:val="none"/>
        </w:rPr>
        <w:t xml:space="preserve">outbuilding and </w:t>
      </w:r>
      <w:r>
        <w:rPr>
          <w:rFonts w:ascii="Arial" w:eastAsia="Times New Roman" w:hAnsi="Arial" w:cs="Arial"/>
          <w:kern w:val="0"/>
          <w:sz w:val="22"/>
          <w:szCs w:val="22"/>
          <w:lang w:eastAsia="en-GB"/>
          <w14:ligatures w14:val="none"/>
        </w:rPr>
        <w:t xml:space="preserve">amenity space. </w:t>
      </w:r>
      <w:r w:rsidR="00E134AF">
        <w:rPr>
          <w:rFonts w:ascii="Arial" w:eastAsia="Times New Roman" w:hAnsi="Arial" w:cs="Arial"/>
          <w:kern w:val="0"/>
          <w:sz w:val="22"/>
          <w:szCs w:val="22"/>
          <w:lang w:eastAsia="en-GB"/>
          <w14:ligatures w14:val="none"/>
        </w:rPr>
        <w:t>It</w:t>
      </w:r>
      <w:r>
        <w:rPr>
          <w:rFonts w:ascii="Arial" w:eastAsia="Times New Roman" w:hAnsi="Arial" w:cs="Arial"/>
          <w:kern w:val="0"/>
          <w:sz w:val="22"/>
          <w:szCs w:val="22"/>
          <w:lang w:eastAsia="en-GB"/>
          <w14:ligatures w14:val="none"/>
        </w:rPr>
        <w:t xml:space="preserve"> is a detached property with a pitched roof form, </w:t>
      </w:r>
      <w:r w:rsidR="00CD2747">
        <w:rPr>
          <w:rFonts w:ascii="Arial" w:eastAsia="Times New Roman" w:hAnsi="Arial" w:cs="Arial"/>
          <w:kern w:val="0"/>
          <w:sz w:val="22"/>
          <w:szCs w:val="22"/>
          <w:lang w:eastAsia="en-GB"/>
          <w14:ligatures w14:val="none"/>
        </w:rPr>
        <w:t>rear</w:t>
      </w:r>
      <w:r>
        <w:rPr>
          <w:rFonts w:ascii="Arial" w:eastAsia="Times New Roman" w:hAnsi="Arial" w:cs="Arial"/>
          <w:kern w:val="0"/>
          <w:sz w:val="22"/>
          <w:szCs w:val="22"/>
          <w:lang w:eastAsia="en-GB"/>
          <w14:ligatures w14:val="none"/>
        </w:rPr>
        <w:t xml:space="preserve"> </w:t>
      </w:r>
      <w:r w:rsidR="00705D3C">
        <w:rPr>
          <w:rFonts w:ascii="Arial" w:eastAsia="Times New Roman" w:hAnsi="Arial" w:cs="Arial"/>
          <w:kern w:val="0"/>
          <w:sz w:val="22"/>
          <w:szCs w:val="22"/>
          <w:lang w:eastAsia="en-GB"/>
          <w14:ligatures w14:val="none"/>
        </w:rPr>
        <w:t>projection</w:t>
      </w:r>
      <w:r>
        <w:rPr>
          <w:rFonts w:ascii="Arial" w:eastAsia="Times New Roman" w:hAnsi="Arial" w:cs="Arial"/>
          <w:kern w:val="0"/>
          <w:sz w:val="22"/>
          <w:szCs w:val="22"/>
          <w:lang w:eastAsia="en-GB"/>
          <w14:ligatures w14:val="none"/>
        </w:rPr>
        <w:t xml:space="preserve"> and </w:t>
      </w:r>
      <w:r w:rsidR="00705D3C">
        <w:rPr>
          <w:rFonts w:ascii="Arial" w:eastAsia="Times New Roman" w:hAnsi="Arial" w:cs="Arial"/>
          <w:kern w:val="0"/>
          <w:sz w:val="22"/>
          <w:szCs w:val="22"/>
          <w:lang w:eastAsia="en-GB"/>
          <w14:ligatures w14:val="none"/>
        </w:rPr>
        <w:t xml:space="preserve">side </w:t>
      </w:r>
      <w:r w:rsidR="00BF2CD7">
        <w:rPr>
          <w:rFonts w:ascii="Arial" w:eastAsia="Times New Roman" w:hAnsi="Arial" w:cs="Arial"/>
          <w:kern w:val="0"/>
          <w:sz w:val="22"/>
          <w:szCs w:val="22"/>
          <w:lang w:eastAsia="en-GB"/>
          <w14:ligatures w14:val="none"/>
        </w:rPr>
        <w:t>conservatory</w:t>
      </w:r>
      <w:r>
        <w:rPr>
          <w:rFonts w:ascii="Arial" w:eastAsia="Times New Roman" w:hAnsi="Arial" w:cs="Arial"/>
          <w:kern w:val="0"/>
          <w:sz w:val="22"/>
          <w:szCs w:val="22"/>
          <w:lang w:eastAsia="en-GB"/>
          <w14:ligatures w14:val="none"/>
        </w:rPr>
        <w:t xml:space="preserve">. </w:t>
      </w:r>
      <w:r w:rsidR="00284BD1">
        <w:rPr>
          <w:rFonts w:ascii="Arial" w:eastAsia="Times New Roman" w:hAnsi="Arial" w:cs="Arial"/>
          <w:kern w:val="0"/>
          <w:sz w:val="22"/>
          <w:szCs w:val="22"/>
          <w:lang w:eastAsia="en-GB"/>
          <w14:ligatures w14:val="none"/>
        </w:rPr>
        <w:t xml:space="preserve">Its external materials </w:t>
      </w:r>
      <w:r w:rsidR="00AF4209">
        <w:rPr>
          <w:rFonts w:ascii="Arial" w:eastAsia="Times New Roman" w:hAnsi="Arial" w:cs="Arial"/>
          <w:kern w:val="0"/>
          <w:sz w:val="22"/>
          <w:szCs w:val="22"/>
          <w:lang w:eastAsia="en-GB"/>
          <w14:ligatures w14:val="none"/>
        </w:rPr>
        <w:t xml:space="preserve">primarily comprise </w:t>
      </w:r>
      <w:r w:rsidR="00EB413B">
        <w:rPr>
          <w:rFonts w:ascii="Arial" w:eastAsia="Times New Roman" w:hAnsi="Arial" w:cs="Arial"/>
          <w:kern w:val="0"/>
          <w:sz w:val="22"/>
          <w:szCs w:val="22"/>
          <w:lang w:eastAsia="en-GB"/>
          <w14:ligatures w14:val="none"/>
        </w:rPr>
        <w:t>brickwork</w:t>
      </w:r>
      <w:r w:rsidR="00AF4209">
        <w:rPr>
          <w:rFonts w:ascii="Arial" w:eastAsia="Times New Roman" w:hAnsi="Arial" w:cs="Arial"/>
          <w:kern w:val="0"/>
          <w:sz w:val="22"/>
          <w:szCs w:val="22"/>
          <w:lang w:eastAsia="en-GB"/>
          <w14:ligatures w14:val="none"/>
        </w:rPr>
        <w:t xml:space="preserve"> walling, timber panelling and concrete tile roofing. </w:t>
      </w:r>
      <w:r w:rsidR="00BF70A6">
        <w:rPr>
          <w:rFonts w:ascii="Arial" w:eastAsia="Times New Roman" w:hAnsi="Arial" w:cs="Arial"/>
          <w:kern w:val="0"/>
          <w:sz w:val="22"/>
          <w:szCs w:val="22"/>
          <w:lang w:eastAsia="en-GB"/>
          <w14:ligatures w14:val="none"/>
        </w:rPr>
        <w:t xml:space="preserve">The side and rear of the property are visually enclosed by mature boundary planting. </w:t>
      </w:r>
    </w:p>
    <w:p w14:paraId="33AE1D62" w14:textId="77777777" w:rsidR="003B01C1" w:rsidRPr="00CD71C2" w:rsidRDefault="003B01C1" w:rsidP="009C1702">
      <w:pPr>
        <w:spacing w:after="0" w:line="276" w:lineRule="auto"/>
        <w:jc w:val="both"/>
        <w:outlineLvl w:val="2"/>
        <w:rPr>
          <w:rFonts w:ascii="Arial" w:eastAsia="Times New Roman" w:hAnsi="Arial" w:cs="Arial"/>
          <w:kern w:val="0"/>
          <w:sz w:val="22"/>
          <w:szCs w:val="22"/>
          <w:lang w:eastAsia="en-GB"/>
          <w14:ligatures w14:val="none"/>
        </w:rPr>
      </w:pPr>
    </w:p>
    <w:p w14:paraId="2A17B55F" w14:textId="77777777" w:rsidR="003E4874" w:rsidRDefault="003E487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terms of immediate surroundings, the site adjoins the following properties/land uses:</w:t>
      </w:r>
    </w:p>
    <w:p w14:paraId="0EE406DB" w14:textId="77777777" w:rsidR="003E4874" w:rsidRDefault="003E487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A9B415B" w14:textId="5354EB2F" w:rsidR="003B01C1" w:rsidRDefault="003E4874" w:rsidP="003E4874">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North:</w:t>
      </w:r>
      <w:r w:rsidR="00D27396">
        <w:rPr>
          <w:rFonts w:ascii="Arial" w:eastAsia="Times New Roman" w:hAnsi="Arial" w:cs="Arial"/>
          <w:color w:val="000000" w:themeColor="text1"/>
          <w:kern w:val="0"/>
          <w:sz w:val="22"/>
          <w:szCs w:val="22"/>
          <w:lang w:eastAsia="en-GB"/>
          <w14:ligatures w14:val="none"/>
        </w:rPr>
        <w:t xml:space="preserve"> </w:t>
      </w:r>
      <w:r w:rsidR="00056604">
        <w:rPr>
          <w:rFonts w:ascii="Arial" w:eastAsia="Times New Roman" w:hAnsi="Arial" w:cs="Arial"/>
          <w:color w:val="000000" w:themeColor="text1"/>
          <w:kern w:val="0"/>
          <w:sz w:val="22"/>
          <w:szCs w:val="22"/>
          <w:lang w:eastAsia="en-GB"/>
          <w14:ligatures w14:val="none"/>
        </w:rPr>
        <w:t>10 Poulson Close (a modern</w:t>
      </w:r>
      <w:r w:rsidR="004A5317">
        <w:rPr>
          <w:rFonts w:ascii="Arial" w:eastAsia="Times New Roman" w:hAnsi="Arial" w:cs="Arial"/>
          <w:color w:val="000000" w:themeColor="text1"/>
          <w:kern w:val="0"/>
          <w:sz w:val="22"/>
          <w:szCs w:val="22"/>
          <w:lang w:eastAsia="en-GB"/>
          <w14:ligatures w14:val="none"/>
        </w:rPr>
        <w:t xml:space="preserve"> two</w:t>
      </w:r>
      <w:r w:rsidR="00056604">
        <w:rPr>
          <w:rFonts w:ascii="Arial" w:eastAsia="Times New Roman" w:hAnsi="Arial" w:cs="Arial"/>
          <w:color w:val="000000" w:themeColor="text1"/>
          <w:kern w:val="0"/>
          <w:sz w:val="22"/>
          <w:szCs w:val="22"/>
          <w:lang w:eastAsia="en-GB"/>
          <w14:ligatures w14:val="none"/>
        </w:rPr>
        <w:t>-storey</w:t>
      </w:r>
      <w:r w:rsidR="00946709">
        <w:rPr>
          <w:rFonts w:ascii="Arial" w:eastAsia="Times New Roman" w:hAnsi="Arial" w:cs="Arial"/>
          <w:color w:val="000000" w:themeColor="text1"/>
          <w:kern w:val="0"/>
          <w:sz w:val="22"/>
          <w:szCs w:val="22"/>
          <w:lang w:eastAsia="en-GB"/>
          <w14:ligatures w14:val="none"/>
        </w:rPr>
        <w:t xml:space="preserve"> semi-detached</w:t>
      </w:r>
      <w:r w:rsidR="00056604">
        <w:rPr>
          <w:rFonts w:ascii="Arial" w:eastAsia="Times New Roman" w:hAnsi="Arial" w:cs="Arial"/>
          <w:color w:val="000000" w:themeColor="text1"/>
          <w:kern w:val="0"/>
          <w:sz w:val="22"/>
          <w:szCs w:val="22"/>
          <w:lang w:eastAsia="en-GB"/>
          <w14:ligatures w14:val="none"/>
        </w:rPr>
        <w:t xml:space="preserve"> dwelling) and Poulson Close</w:t>
      </w:r>
      <w:r w:rsidR="004F6E9B">
        <w:rPr>
          <w:rFonts w:ascii="Arial" w:eastAsia="Times New Roman" w:hAnsi="Arial" w:cs="Arial"/>
          <w:color w:val="000000" w:themeColor="text1"/>
          <w:kern w:val="0"/>
          <w:sz w:val="22"/>
          <w:szCs w:val="22"/>
          <w:lang w:eastAsia="en-GB"/>
          <w14:ligatures w14:val="none"/>
        </w:rPr>
        <w:t xml:space="preserve"> (an unmarked two-way road with adjoining pavements).</w:t>
      </w:r>
      <w:r w:rsidR="00056604">
        <w:rPr>
          <w:rFonts w:ascii="Arial" w:eastAsia="Times New Roman" w:hAnsi="Arial" w:cs="Arial"/>
          <w:color w:val="000000" w:themeColor="text1"/>
          <w:kern w:val="0"/>
          <w:sz w:val="22"/>
          <w:szCs w:val="22"/>
          <w:lang w:eastAsia="en-GB"/>
          <w14:ligatures w14:val="none"/>
        </w:rPr>
        <w:t xml:space="preserve"> </w:t>
      </w:r>
    </w:p>
    <w:p w14:paraId="3EAAD39B" w14:textId="036E5B02" w:rsidR="003E4874" w:rsidRDefault="003E4874" w:rsidP="003E4874">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East:</w:t>
      </w:r>
      <w:r w:rsidR="004F6E9B">
        <w:rPr>
          <w:rFonts w:ascii="Arial" w:eastAsia="Times New Roman" w:hAnsi="Arial" w:cs="Arial"/>
          <w:color w:val="000000" w:themeColor="text1"/>
          <w:kern w:val="0"/>
          <w:sz w:val="22"/>
          <w:szCs w:val="22"/>
          <w:lang w:eastAsia="en-GB"/>
          <w14:ligatures w14:val="none"/>
        </w:rPr>
        <w:t xml:space="preserve"> </w:t>
      </w:r>
      <w:r w:rsidR="00741853">
        <w:rPr>
          <w:rFonts w:ascii="Arial" w:eastAsia="Times New Roman" w:hAnsi="Arial" w:cs="Arial"/>
          <w:color w:val="000000" w:themeColor="text1"/>
          <w:kern w:val="0"/>
          <w:sz w:val="22"/>
          <w:szCs w:val="22"/>
          <w:lang w:eastAsia="en-GB"/>
          <w14:ligatures w14:val="none"/>
        </w:rPr>
        <w:t>8 Poulson Close</w:t>
      </w:r>
      <w:r w:rsidR="00946709">
        <w:rPr>
          <w:rFonts w:ascii="Arial" w:eastAsia="Times New Roman" w:hAnsi="Arial" w:cs="Arial"/>
          <w:color w:val="000000" w:themeColor="text1"/>
          <w:kern w:val="0"/>
          <w:sz w:val="22"/>
          <w:szCs w:val="22"/>
          <w:lang w:eastAsia="en-GB"/>
          <w14:ligatures w14:val="none"/>
        </w:rPr>
        <w:t xml:space="preserve"> (a modern two-storey detached dwelling).</w:t>
      </w:r>
    </w:p>
    <w:p w14:paraId="38FD7B29" w14:textId="59FF8F95" w:rsidR="003E4874" w:rsidRDefault="003E4874" w:rsidP="003E4874">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South:</w:t>
      </w:r>
      <w:r w:rsidR="003309CF">
        <w:rPr>
          <w:rFonts w:ascii="Arial" w:eastAsia="Times New Roman" w:hAnsi="Arial" w:cs="Arial"/>
          <w:color w:val="000000" w:themeColor="text1"/>
          <w:kern w:val="0"/>
          <w:sz w:val="22"/>
          <w:szCs w:val="22"/>
          <w:lang w:eastAsia="en-GB"/>
          <w14:ligatures w14:val="none"/>
        </w:rPr>
        <w:t xml:space="preserve"> 1-3 Bourbon Close (modern two-storey dwellings)</w:t>
      </w:r>
      <w:r w:rsidR="002F3C84">
        <w:rPr>
          <w:rFonts w:ascii="Arial" w:eastAsia="Times New Roman" w:hAnsi="Arial" w:cs="Arial"/>
          <w:color w:val="000000" w:themeColor="text1"/>
          <w:kern w:val="0"/>
          <w:sz w:val="22"/>
          <w:szCs w:val="22"/>
          <w:lang w:eastAsia="en-GB"/>
          <w14:ligatures w14:val="none"/>
        </w:rPr>
        <w:t>.</w:t>
      </w:r>
    </w:p>
    <w:p w14:paraId="2A34CBBC" w14:textId="3C342863" w:rsidR="003E4874" w:rsidRPr="003E4874" w:rsidRDefault="003E4874" w:rsidP="003E4874">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West:</w:t>
      </w:r>
      <w:r w:rsidR="00125AE0">
        <w:rPr>
          <w:rFonts w:ascii="Arial" w:eastAsia="Times New Roman" w:hAnsi="Arial" w:cs="Arial"/>
          <w:color w:val="000000" w:themeColor="text1"/>
          <w:kern w:val="0"/>
          <w:sz w:val="22"/>
          <w:szCs w:val="22"/>
          <w:lang w:eastAsia="en-GB"/>
          <w14:ligatures w14:val="none"/>
        </w:rPr>
        <w:t xml:space="preserve"> 35, 37, 39 and 41 Damask Way (</w:t>
      </w:r>
      <w:r w:rsidR="002F3C84">
        <w:rPr>
          <w:rFonts w:ascii="Arial" w:eastAsia="Times New Roman" w:hAnsi="Arial" w:cs="Arial"/>
          <w:color w:val="000000" w:themeColor="text1"/>
          <w:kern w:val="0"/>
          <w:sz w:val="22"/>
          <w:szCs w:val="22"/>
          <w:lang w:eastAsia="en-GB"/>
          <w14:ligatures w14:val="none"/>
        </w:rPr>
        <w:t>modern two-storey dwellings</w:t>
      </w:r>
      <w:r w:rsidR="00125AE0">
        <w:rPr>
          <w:rFonts w:ascii="Arial" w:eastAsia="Times New Roman" w:hAnsi="Arial" w:cs="Arial"/>
          <w:color w:val="000000" w:themeColor="text1"/>
          <w:kern w:val="0"/>
          <w:sz w:val="22"/>
          <w:szCs w:val="22"/>
          <w:lang w:eastAsia="en-GB"/>
          <w14:ligatures w14:val="none"/>
        </w:rPr>
        <w:t>)</w:t>
      </w:r>
      <w:r w:rsidR="002F3C84">
        <w:rPr>
          <w:rFonts w:ascii="Arial" w:eastAsia="Times New Roman" w:hAnsi="Arial" w:cs="Arial"/>
          <w:color w:val="000000" w:themeColor="text1"/>
          <w:kern w:val="0"/>
          <w:sz w:val="22"/>
          <w:szCs w:val="22"/>
          <w:lang w:eastAsia="en-GB"/>
          <w14:ligatures w14:val="none"/>
        </w:rPr>
        <w:t>.</w:t>
      </w:r>
    </w:p>
    <w:p w14:paraId="12E00C53" w14:textId="77777777" w:rsidR="003B01C1" w:rsidRDefault="003B01C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12711BB"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w:t>
      </w:r>
      <w:r w:rsidR="0089004F">
        <w:rPr>
          <w:rFonts w:ascii="Arial" w:eastAsia="Times New Roman" w:hAnsi="Arial" w:cs="Arial"/>
          <w:color w:val="000000" w:themeColor="text1"/>
          <w:kern w:val="0"/>
          <w:sz w:val="22"/>
          <w:szCs w:val="22"/>
          <w:lang w:eastAsia="en-GB"/>
          <w14:ligatures w14:val="none"/>
        </w:rPr>
        <w:t xml:space="preserve"> not</w:t>
      </w:r>
      <w:r>
        <w:rPr>
          <w:rFonts w:ascii="Arial" w:eastAsia="Times New Roman" w:hAnsi="Arial" w:cs="Arial"/>
          <w:color w:val="000000" w:themeColor="text1"/>
          <w:kern w:val="0"/>
          <w:sz w:val="22"/>
          <w:szCs w:val="22"/>
          <w:lang w:eastAsia="en-GB"/>
          <w14:ligatures w14:val="none"/>
        </w:rPr>
        <w:t xml:space="preserve"> subject to</w:t>
      </w:r>
      <w:r w:rsidR="0089004F">
        <w:rPr>
          <w:rFonts w:ascii="Arial" w:eastAsia="Times New Roman" w:hAnsi="Arial" w:cs="Arial"/>
          <w:color w:val="000000" w:themeColor="text1"/>
          <w:kern w:val="0"/>
          <w:sz w:val="22"/>
          <w:szCs w:val="22"/>
          <w:lang w:eastAsia="en-GB"/>
          <w14:ligatures w14:val="none"/>
        </w:rPr>
        <w:t xml:space="preserve">, nor within notable proximity of any </w:t>
      </w:r>
      <w:r>
        <w:rPr>
          <w:rFonts w:ascii="Arial" w:eastAsia="Times New Roman" w:hAnsi="Arial" w:cs="Arial"/>
          <w:color w:val="000000" w:themeColor="text1"/>
          <w:kern w:val="0"/>
          <w:sz w:val="22"/>
          <w:szCs w:val="22"/>
          <w:lang w:eastAsia="en-GB"/>
          <w14:ligatures w14:val="none"/>
        </w:rPr>
        <w:t>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w:t>
      </w:r>
      <w:r w:rsidR="0089004F">
        <w:rPr>
          <w:rFonts w:ascii="Arial" w:eastAsia="Times New Roman" w:hAnsi="Arial" w:cs="Arial"/>
          <w:color w:val="000000" w:themeColor="text1"/>
          <w:kern w:val="0"/>
          <w:sz w:val="22"/>
          <w:szCs w:val="22"/>
          <w:lang w:eastAsia="en-GB"/>
          <w14:ligatures w14:val="none"/>
        </w:rPr>
        <w:t xml:space="preserve">designations and/or </w:t>
      </w:r>
      <w:r>
        <w:rPr>
          <w:rFonts w:ascii="Arial" w:eastAsia="Times New Roman" w:hAnsi="Arial" w:cs="Arial"/>
          <w:color w:val="000000" w:themeColor="text1"/>
          <w:kern w:val="0"/>
          <w:sz w:val="22"/>
          <w:szCs w:val="22"/>
          <w:lang w:eastAsia="en-GB"/>
          <w14:ligatures w14:val="none"/>
        </w:rPr>
        <w:t>constraints</w:t>
      </w:r>
      <w:r w:rsidR="0089004F">
        <w:rPr>
          <w:rFonts w:ascii="Arial" w:eastAsia="Times New Roman" w:hAnsi="Arial" w:cs="Arial"/>
          <w:color w:val="000000" w:themeColor="text1"/>
          <w:kern w:val="0"/>
          <w:sz w:val="22"/>
          <w:szCs w:val="22"/>
          <w:lang w:eastAsia="en-GB"/>
          <w14:ligatures w14:val="none"/>
        </w:rPr>
        <w:t xml:space="preserve"> that are pertinent to the consideration of this proposal. </w:t>
      </w:r>
    </w:p>
    <w:p w14:paraId="0E03D2EB"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0E8E966" w14:textId="77777777" w:rsidR="003E059B" w:rsidRPr="009C1702" w:rsidRDefault="003E059B" w:rsidP="003E059B">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24EE9FC" w14:textId="77777777" w:rsidR="003E059B" w:rsidRPr="009C1702" w:rsidRDefault="003E059B" w:rsidP="003E059B">
      <w:pPr>
        <w:spacing w:after="0" w:line="276" w:lineRule="auto"/>
        <w:jc w:val="both"/>
        <w:rPr>
          <w:rFonts w:ascii="Arial" w:eastAsia="Times New Roman" w:hAnsi="Arial" w:cs="Arial"/>
          <w:color w:val="FF0000"/>
          <w:kern w:val="0"/>
          <w:sz w:val="22"/>
          <w:szCs w:val="22"/>
          <w:lang w:eastAsia="en-GB"/>
          <w14:ligatures w14:val="none"/>
        </w:rPr>
      </w:pPr>
    </w:p>
    <w:p w14:paraId="08735306" w14:textId="3190B9E0" w:rsidR="003E059B" w:rsidRPr="00E16B1D" w:rsidRDefault="003E059B" w:rsidP="003E059B">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w:t>
      </w:r>
      <w:r w:rsidR="006410B2">
        <w:rPr>
          <w:rFonts w:ascii="Arial" w:eastAsia="Times New Roman" w:hAnsi="Arial" w:cs="Arial"/>
          <w:color w:val="000000" w:themeColor="text1"/>
          <w:kern w:val="0"/>
          <w:sz w:val="22"/>
          <w:szCs w:val="22"/>
          <w:lang w:eastAsia="en-GB"/>
          <w14:ligatures w14:val="none"/>
        </w:rPr>
        <w:t>involves</w:t>
      </w:r>
      <w:r w:rsidR="00AA5436">
        <w:rPr>
          <w:rFonts w:ascii="Arial" w:eastAsia="Times New Roman" w:hAnsi="Arial" w:cs="Arial"/>
          <w:color w:val="000000" w:themeColor="text1"/>
          <w:kern w:val="0"/>
          <w:sz w:val="22"/>
          <w:szCs w:val="22"/>
          <w:lang w:eastAsia="en-GB"/>
          <w14:ligatures w14:val="none"/>
        </w:rPr>
        <w:t xml:space="preserve"> the replacement of the side conservatory with a </w:t>
      </w:r>
      <w:r w:rsidR="001867E0">
        <w:rPr>
          <w:rFonts w:ascii="Arial" w:eastAsia="Times New Roman" w:hAnsi="Arial" w:cs="Arial"/>
          <w:color w:val="000000" w:themeColor="text1"/>
          <w:kern w:val="0"/>
          <w:sz w:val="22"/>
          <w:szCs w:val="22"/>
          <w:lang w:eastAsia="en-GB"/>
          <w14:ligatures w14:val="none"/>
        </w:rPr>
        <w:t xml:space="preserve">modest single storey </w:t>
      </w:r>
      <w:r w:rsidR="00610CF5">
        <w:rPr>
          <w:rFonts w:ascii="Arial" w:eastAsia="Times New Roman" w:hAnsi="Arial" w:cs="Arial"/>
          <w:color w:val="000000" w:themeColor="text1"/>
          <w:kern w:val="0"/>
          <w:sz w:val="22"/>
          <w:szCs w:val="22"/>
          <w:lang w:eastAsia="en-GB"/>
          <w14:ligatures w14:val="none"/>
        </w:rPr>
        <w:t>pitched roof extension</w:t>
      </w:r>
      <w:r w:rsidR="00047B21">
        <w:rPr>
          <w:rFonts w:ascii="Arial" w:eastAsia="Times New Roman" w:hAnsi="Arial" w:cs="Arial"/>
          <w:color w:val="000000" w:themeColor="text1"/>
          <w:kern w:val="0"/>
          <w:sz w:val="22"/>
          <w:szCs w:val="22"/>
          <w:lang w:eastAsia="en-GB"/>
          <w14:ligatures w14:val="none"/>
        </w:rPr>
        <w:t xml:space="preserve"> which reflects the </w:t>
      </w:r>
      <w:r w:rsidR="00EB413B">
        <w:rPr>
          <w:rFonts w:ascii="Arial" w:eastAsia="Times New Roman" w:hAnsi="Arial" w:cs="Arial"/>
          <w:color w:val="000000" w:themeColor="text1"/>
          <w:kern w:val="0"/>
          <w:sz w:val="22"/>
          <w:szCs w:val="22"/>
          <w:lang w:eastAsia="en-GB"/>
          <w14:ligatures w14:val="none"/>
        </w:rPr>
        <w:t>layout</w:t>
      </w:r>
      <w:r w:rsidR="00047B21">
        <w:rPr>
          <w:rFonts w:ascii="Arial" w:eastAsia="Times New Roman" w:hAnsi="Arial" w:cs="Arial"/>
          <w:color w:val="000000" w:themeColor="text1"/>
          <w:kern w:val="0"/>
          <w:sz w:val="22"/>
          <w:szCs w:val="22"/>
          <w:lang w:eastAsia="en-GB"/>
          <w14:ligatures w14:val="none"/>
        </w:rPr>
        <w:t xml:space="preserve"> and </w:t>
      </w:r>
      <w:r w:rsidR="00411FF7">
        <w:rPr>
          <w:rFonts w:ascii="Arial" w:eastAsia="Times New Roman" w:hAnsi="Arial" w:cs="Arial"/>
          <w:color w:val="000000" w:themeColor="text1"/>
          <w:kern w:val="0"/>
          <w:sz w:val="22"/>
          <w:szCs w:val="22"/>
          <w:lang w:eastAsia="en-GB"/>
          <w14:ligatures w14:val="none"/>
        </w:rPr>
        <w:t>scale of the conservatory</w:t>
      </w:r>
      <w:r w:rsidR="00602A97">
        <w:rPr>
          <w:rFonts w:ascii="Arial" w:eastAsia="Times New Roman" w:hAnsi="Arial" w:cs="Arial"/>
          <w:color w:val="000000" w:themeColor="text1"/>
          <w:kern w:val="0"/>
          <w:sz w:val="22"/>
          <w:szCs w:val="22"/>
          <w:lang w:eastAsia="en-GB"/>
          <w14:ligatures w14:val="none"/>
        </w:rPr>
        <w:t xml:space="preserve"> and</w:t>
      </w:r>
      <w:r w:rsidR="00830FA8">
        <w:rPr>
          <w:rFonts w:ascii="Arial" w:eastAsia="Times New Roman" w:hAnsi="Arial" w:cs="Arial"/>
          <w:color w:val="000000" w:themeColor="text1"/>
          <w:kern w:val="0"/>
          <w:sz w:val="22"/>
          <w:szCs w:val="22"/>
          <w:lang w:eastAsia="en-GB"/>
          <w14:ligatures w14:val="none"/>
        </w:rPr>
        <w:t xml:space="preserve"> is formed of</w:t>
      </w:r>
      <w:r w:rsidR="00602A97">
        <w:rPr>
          <w:rFonts w:ascii="Arial" w:eastAsia="Times New Roman" w:hAnsi="Arial" w:cs="Arial"/>
          <w:color w:val="000000" w:themeColor="text1"/>
          <w:kern w:val="0"/>
          <w:sz w:val="22"/>
          <w:szCs w:val="22"/>
          <w:lang w:eastAsia="en-GB"/>
          <w14:ligatures w14:val="none"/>
        </w:rPr>
        <w:t xml:space="preserve"> brickwork walling and concrete tile roofing </w:t>
      </w:r>
      <w:r w:rsidR="00AF7DA5">
        <w:rPr>
          <w:rFonts w:ascii="Arial" w:eastAsia="Times New Roman" w:hAnsi="Arial" w:cs="Arial"/>
          <w:color w:val="000000" w:themeColor="text1"/>
          <w:kern w:val="0"/>
          <w:sz w:val="22"/>
          <w:szCs w:val="22"/>
          <w:lang w:eastAsia="en-GB"/>
          <w14:ligatures w14:val="none"/>
        </w:rPr>
        <w:t xml:space="preserve">matching that </w:t>
      </w:r>
      <w:r w:rsidR="00602A97">
        <w:rPr>
          <w:rFonts w:ascii="Arial" w:eastAsia="Times New Roman" w:hAnsi="Arial" w:cs="Arial"/>
          <w:color w:val="000000" w:themeColor="text1"/>
          <w:kern w:val="0"/>
          <w:sz w:val="22"/>
          <w:szCs w:val="22"/>
          <w:lang w:eastAsia="en-GB"/>
          <w14:ligatures w14:val="none"/>
        </w:rPr>
        <w:t>of the host dwelling.</w:t>
      </w:r>
      <w:r w:rsidR="00411FF7">
        <w:rPr>
          <w:rFonts w:ascii="Arial" w:eastAsia="Times New Roman" w:hAnsi="Arial" w:cs="Arial"/>
          <w:color w:val="000000" w:themeColor="text1"/>
          <w:kern w:val="0"/>
          <w:sz w:val="22"/>
          <w:szCs w:val="22"/>
          <w:lang w:eastAsia="en-GB"/>
          <w14:ligatures w14:val="none"/>
        </w:rPr>
        <w:t xml:space="preserve"> </w:t>
      </w:r>
      <w:r w:rsidR="00610CF5">
        <w:rPr>
          <w:rFonts w:ascii="Arial" w:eastAsia="Times New Roman" w:hAnsi="Arial" w:cs="Arial"/>
          <w:color w:val="000000" w:themeColor="text1"/>
          <w:kern w:val="0"/>
          <w:sz w:val="22"/>
          <w:szCs w:val="22"/>
          <w:lang w:eastAsia="en-GB"/>
          <w14:ligatures w14:val="none"/>
        </w:rPr>
        <w:t xml:space="preserve"> </w:t>
      </w:r>
    </w:p>
    <w:p w14:paraId="4B44C4ED" w14:textId="77777777" w:rsidR="003E059B" w:rsidRDefault="003E059B" w:rsidP="003E059B">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76F953D" w14:textId="77777777" w:rsidR="00A92E31" w:rsidRDefault="00A92E31" w:rsidP="009C1702">
      <w:pPr>
        <w:spacing w:after="0" w:line="276" w:lineRule="auto"/>
        <w:jc w:val="both"/>
        <w:outlineLvl w:val="2"/>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1928"/>
        <w:gridCol w:w="4519"/>
        <w:gridCol w:w="1251"/>
        <w:gridCol w:w="1318"/>
      </w:tblGrid>
      <w:tr w:rsidR="008E6B90" w14:paraId="528C7334" w14:textId="77777777" w:rsidTr="00B77B2A">
        <w:tc>
          <w:tcPr>
            <w:tcW w:w="9016" w:type="dxa"/>
            <w:gridSpan w:val="4"/>
          </w:tcPr>
          <w:p w14:paraId="42E7D2BD" w14:textId="77777777" w:rsidR="008E6B90" w:rsidRPr="008B730C" w:rsidRDefault="008E6B90" w:rsidP="00B77B2A">
            <w:pPr>
              <w:spacing w:before="100" w:beforeAutospacing="1" w:after="100" w:afterAutospacing="1" w:line="276" w:lineRule="auto"/>
              <w:rPr>
                <w:rFonts w:ascii="Arial" w:hAnsi="Arial" w:cs="Arial"/>
                <w:sz w:val="22"/>
                <w:szCs w:val="22"/>
              </w:rPr>
            </w:pPr>
            <w:r w:rsidRPr="008B730C">
              <w:rPr>
                <w:rFonts w:ascii="Arial" w:hAnsi="Arial" w:cs="Arial"/>
                <w:b/>
                <w:bCs/>
                <w:sz w:val="22"/>
                <w:szCs w:val="22"/>
              </w:rPr>
              <w:t>Relevant Planning Records</w:t>
            </w:r>
          </w:p>
        </w:tc>
      </w:tr>
      <w:tr w:rsidR="008E6B90" w14:paraId="781E9382" w14:textId="77777777" w:rsidTr="00B77B2A">
        <w:tc>
          <w:tcPr>
            <w:tcW w:w="1772" w:type="dxa"/>
          </w:tcPr>
          <w:p w14:paraId="712C63DC" w14:textId="77777777" w:rsidR="008E6B90" w:rsidRPr="008B730C" w:rsidRDefault="008E6B90" w:rsidP="00B77B2A">
            <w:pPr>
              <w:spacing w:before="100" w:beforeAutospacing="1" w:after="100" w:afterAutospacing="1" w:line="276" w:lineRule="auto"/>
              <w:jc w:val="both"/>
              <w:rPr>
                <w:rFonts w:ascii="Arial" w:hAnsi="Arial" w:cs="Arial"/>
                <w:b/>
                <w:bCs/>
                <w:sz w:val="22"/>
                <w:szCs w:val="22"/>
              </w:rPr>
            </w:pPr>
            <w:r w:rsidRPr="008B730C">
              <w:rPr>
                <w:rFonts w:ascii="Arial" w:hAnsi="Arial" w:cs="Arial"/>
                <w:b/>
                <w:bCs/>
                <w:sz w:val="22"/>
                <w:szCs w:val="22"/>
              </w:rPr>
              <w:t>Reference</w:t>
            </w:r>
          </w:p>
        </w:tc>
        <w:tc>
          <w:tcPr>
            <w:tcW w:w="4670" w:type="dxa"/>
          </w:tcPr>
          <w:p w14:paraId="4EFFE42F" w14:textId="77777777" w:rsidR="008E6B90" w:rsidRPr="008B730C" w:rsidRDefault="008E6B90" w:rsidP="00B77B2A">
            <w:pPr>
              <w:spacing w:before="100" w:beforeAutospacing="1" w:after="100" w:afterAutospacing="1" w:line="276" w:lineRule="auto"/>
              <w:rPr>
                <w:rFonts w:ascii="Arial" w:hAnsi="Arial" w:cs="Arial"/>
                <w:b/>
                <w:bCs/>
                <w:sz w:val="22"/>
                <w:szCs w:val="22"/>
              </w:rPr>
            </w:pPr>
            <w:r w:rsidRPr="008B730C">
              <w:rPr>
                <w:rFonts w:ascii="Arial" w:hAnsi="Arial" w:cs="Arial"/>
                <w:b/>
                <w:bCs/>
                <w:sz w:val="22"/>
                <w:szCs w:val="22"/>
              </w:rPr>
              <w:t>Description</w:t>
            </w:r>
          </w:p>
        </w:tc>
        <w:tc>
          <w:tcPr>
            <w:tcW w:w="1256" w:type="dxa"/>
          </w:tcPr>
          <w:p w14:paraId="49E1C341" w14:textId="77777777" w:rsidR="008E6B90" w:rsidRPr="008B730C" w:rsidRDefault="008E6B90" w:rsidP="00B77B2A">
            <w:pPr>
              <w:spacing w:before="100" w:beforeAutospacing="1" w:after="100" w:afterAutospacing="1" w:line="276" w:lineRule="auto"/>
              <w:rPr>
                <w:rFonts w:ascii="Arial" w:hAnsi="Arial" w:cs="Arial"/>
                <w:b/>
                <w:bCs/>
                <w:sz w:val="22"/>
                <w:szCs w:val="22"/>
              </w:rPr>
            </w:pPr>
            <w:r w:rsidRPr="008B730C">
              <w:rPr>
                <w:rFonts w:ascii="Arial" w:hAnsi="Arial" w:cs="Arial"/>
                <w:b/>
                <w:bCs/>
                <w:sz w:val="22"/>
                <w:szCs w:val="22"/>
              </w:rPr>
              <w:t>Decision</w:t>
            </w:r>
          </w:p>
        </w:tc>
        <w:tc>
          <w:tcPr>
            <w:tcW w:w="1318" w:type="dxa"/>
          </w:tcPr>
          <w:p w14:paraId="750C68D4" w14:textId="77777777" w:rsidR="008E6B90" w:rsidRPr="008B730C" w:rsidRDefault="008E6B90" w:rsidP="00B77B2A">
            <w:pPr>
              <w:spacing w:before="100" w:beforeAutospacing="1" w:after="100" w:afterAutospacing="1" w:line="276" w:lineRule="auto"/>
              <w:rPr>
                <w:rFonts w:ascii="Arial" w:hAnsi="Arial" w:cs="Arial"/>
                <w:b/>
                <w:bCs/>
                <w:sz w:val="22"/>
                <w:szCs w:val="22"/>
              </w:rPr>
            </w:pPr>
            <w:r w:rsidRPr="008B730C">
              <w:rPr>
                <w:rFonts w:ascii="Arial" w:hAnsi="Arial" w:cs="Arial"/>
                <w:b/>
                <w:bCs/>
                <w:sz w:val="22"/>
                <w:szCs w:val="22"/>
              </w:rPr>
              <w:t>Date</w:t>
            </w:r>
          </w:p>
        </w:tc>
      </w:tr>
      <w:tr w:rsidR="008E6B90" w14:paraId="00E4ED91" w14:textId="77777777" w:rsidTr="00B77B2A">
        <w:tc>
          <w:tcPr>
            <w:tcW w:w="1772" w:type="dxa"/>
          </w:tcPr>
          <w:p w14:paraId="480DE43A" w14:textId="48D59CAD" w:rsidR="008E6B90" w:rsidRPr="008B730C" w:rsidRDefault="009D35EF" w:rsidP="00B77B2A">
            <w:pPr>
              <w:spacing w:before="100" w:beforeAutospacing="1" w:after="100" w:afterAutospacing="1" w:line="276" w:lineRule="auto"/>
              <w:jc w:val="both"/>
              <w:rPr>
                <w:rFonts w:ascii="Arial" w:hAnsi="Arial" w:cs="Arial"/>
                <w:sz w:val="22"/>
                <w:szCs w:val="22"/>
              </w:rPr>
            </w:pPr>
            <w:r w:rsidRPr="009D35EF">
              <w:rPr>
                <w:rFonts w:ascii="Arial" w:hAnsi="Arial" w:cs="Arial"/>
                <w:sz w:val="22"/>
                <w:szCs w:val="22"/>
              </w:rPr>
              <w:t>W/88/02094/OUT</w:t>
            </w:r>
          </w:p>
        </w:tc>
        <w:tc>
          <w:tcPr>
            <w:tcW w:w="4670" w:type="dxa"/>
          </w:tcPr>
          <w:p w14:paraId="57F9649A" w14:textId="39F85E19" w:rsidR="008E6B90" w:rsidRPr="008B730C" w:rsidRDefault="009D35EF" w:rsidP="00B77B2A">
            <w:pPr>
              <w:spacing w:before="100" w:beforeAutospacing="1" w:after="100" w:afterAutospacing="1" w:line="276" w:lineRule="auto"/>
              <w:rPr>
                <w:rFonts w:ascii="Arial" w:hAnsi="Arial" w:cs="Arial"/>
                <w:sz w:val="22"/>
                <w:szCs w:val="22"/>
              </w:rPr>
            </w:pPr>
            <w:r w:rsidRPr="009D35EF">
              <w:rPr>
                <w:rFonts w:ascii="Arial" w:hAnsi="Arial" w:cs="Arial"/>
                <w:sz w:val="22"/>
                <w:szCs w:val="22"/>
              </w:rPr>
              <w:t>Detached bungalow</w:t>
            </w:r>
          </w:p>
        </w:tc>
        <w:tc>
          <w:tcPr>
            <w:tcW w:w="1256" w:type="dxa"/>
          </w:tcPr>
          <w:p w14:paraId="1595587E" w14:textId="76198846" w:rsidR="008E6B90" w:rsidRPr="009D35EF" w:rsidRDefault="009D35EF" w:rsidP="00B77B2A">
            <w:pPr>
              <w:spacing w:before="100" w:beforeAutospacing="1" w:after="100" w:afterAutospacing="1" w:line="276" w:lineRule="auto"/>
              <w:rPr>
                <w:rFonts w:ascii="Arial" w:hAnsi="Arial" w:cs="Arial"/>
                <w:sz w:val="22"/>
                <w:szCs w:val="22"/>
              </w:rPr>
            </w:pPr>
            <w:r w:rsidRPr="009D35EF">
              <w:rPr>
                <w:rFonts w:ascii="Arial" w:hAnsi="Arial" w:cs="Arial"/>
                <w:sz w:val="22"/>
                <w:szCs w:val="22"/>
              </w:rPr>
              <w:t>Refused</w:t>
            </w:r>
          </w:p>
        </w:tc>
        <w:tc>
          <w:tcPr>
            <w:tcW w:w="1318" w:type="dxa"/>
          </w:tcPr>
          <w:p w14:paraId="1D708682" w14:textId="74E695CE" w:rsidR="008E6B90" w:rsidRPr="009D35EF" w:rsidRDefault="009D35EF" w:rsidP="00B77B2A">
            <w:pPr>
              <w:spacing w:before="100" w:beforeAutospacing="1" w:after="100" w:afterAutospacing="1" w:line="276" w:lineRule="auto"/>
              <w:rPr>
                <w:rFonts w:ascii="Arial" w:hAnsi="Arial" w:cs="Arial"/>
                <w:sz w:val="22"/>
                <w:szCs w:val="22"/>
              </w:rPr>
            </w:pPr>
            <w:r w:rsidRPr="009D35EF">
              <w:rPr>
                <w:rFonts w:ascii="Arial" w:hAnsi="Arial" w:cs="Arial"/>
                <w:sz w:val="22"/>
                <w:szCs w:val="22"/>
              </w:rPr>
              <w:t>10/01/1989</w:t>
            </w:r>
          </w:p>
        </w:tc>
      </w:tr>
      <w:tr w:rsidR="008E6B90" w14:paraId="039E8EDF" w14:textId="77777777" w:rsidTr="00B77B2A">
        <w:tc>
          <w:tcPr>
            <w:tcW w:w="1772" w:type="dxa"/>
          </w:tcPr>
          <w:p w14:paraId="697A79F6" w14:textId="2A50D30E" w:rsidR="008E6B90" w:rsidRPr="00D6014E" w:rsidRDefault="009D35EF" w:rsidP="00B77B2A">
            <w:pPr>
              <w:spacing w:before="100" w:beforeAutospacing="1" w:after="100" w:afterAutospacing="1" w:line="276" w:lineRule="auto"/>
              <w:jc w:val="both"/>
              <w:rPr>
                <w:rFonts w:ascii="Arial" w:hAnsi="Arial" w:cs="Arial"/>
                <w:sz w:val="22"/>
                <w:szCs w:val="22"/>
              </w:rPr>
            </w:pPr>
            <w:r w:rsidRPr="009D35EF">
              <w:rPr>
                <w:rFonts w:ascii="Arial" w:hAnsi="Arial" w:cs="Arial"/>
                <w:sz w:val="22"/>
                <w:szCs w:val="22"/>
              </w:rPr>
              <w:t>W/94/00850/FUL</w:t>
            </w:r>
          </w:p>
        </w:tc>
        <w:tc>
          <w:tcPr>
            <w:tcW w:w="4670" w:type="dxa"/>
          </w:tcPr>
          <w:p w14:paraId="1AA5CB9B" w14:textId="56BBBCE6" w:rsidR="008E6B90" w:rsidRPr="00D6014E" w:rsidRDefault="009D35EF" w:rsidP="00B77B2A">
            <w:pPr>
              <w:spacing w:before="100" w:beforeAutospacing="1" w:after="100" w:afterAutospacing="1" w:line="276" w:lineRule="auto"/>
              <w:rPr>
                <w:rFonts w:ascii="Arial" w:hAnsi="Arial" w:cs="Arial"/>
                <w:sz w:val="22"/>
                <w:szCs w:val="22"/>
              </w:rPr>
            </w:pPr>
            <w:r w:rsidRPr="009D35EF">
              <w:rPr>
                <w:rFonts w:ascii="Arial" w:hAnsi="Arial" w:cs="Arial"/>
                <w:sz w:val="22"/>
                <w:szCs w:val="22"/>
              </w:rPr>
              <w:t>Extension to dwelling</w:t>
            </w:r>
          </w:p>
        </w:tc>
        <w:tc>
          <w:tcPr>
            <w:tcW w:w="1256" w:type="dxa"/>
          </w:tcPr>
          <w:p w14:paraId="6580B433" w14:textId="03B97BB1" w:rsidR="008E6B90" w:rsidRPr="009D35EF" w:rsidRDefault="009D35EF" w:rsidP="00B77B2A">
            <w:pPr>
              <w:spacing w:before="100" w:beforeAutospacing="1" w:after="100" w:afterAutospacing="1" w:line="276" w:lineRule="auto"/>
              <w:rPr>
                <w:rFonts w:ascii="Arial" w:hAnsi="Arial" w:cs="Arial"/>
                <w:sz w:val="22"/>
                <w:szCs w:val="22"/>
              </w:rPr>
            </w:pPr>
            <w:r w:rsidRPr="009D35EF">
              <w:rPr>
                <w:rFonts w:ascii="Arial" w:hAnsi="Arial" w:cs="Arial"/>
                <w:sz w:val="22"/>
                <w:szCs w:val="22"/>
              </w:rPr>
              <w:t>Approved</w:t>
            </w:r>
          </w:p>
        </w:tc>
        <w:tc>
          <w:tcPr>
            <w:tcW w:w="1318" w:type="dxa"/>
          </w:tcPr>
          <w:p w14:paraId="158DFFE4" w14:textId="0CB01A1F" w:rsidR="008E6B90" w:rsidRPr="009D35EF" w:rsidRDefault="009D35EF" w:rsidP="00B77B2A">
            <w:pPr>
              <w:spacing w:before="100" w:beforeAutospacing="1" w:after="100" w:afterAutospacing="1" w:line="276" w:lineRule="auto"/>
              <w:rPr>
                <w:rFonts w:ascii="Arial" w:hAnsi="Arial" w:cs="Arial"/>
                <w:sz w:val="22"/>
                <w:szCs w:val="22"/>
              </w:rPr>
            </w:pPr>
            <w:r w:rsidRPr="009D35EF">
              <w:rPr>
                <w:rFonts w:ascii="Arial" w:hAnsi="Arial" w:cs="Arial"/>
                <w:sz w:val="22"/>
                <w:szCs w:val="22"/>
              </w:rPr>
              <w:t>11/08/1994</w:t>
            </w:r>
          </w:p>
        </w:tc>
      </w:tr>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F2C8F7E" w14:textId="77777777" w:rsidR="00A5593B" w:rsidRPr="00F43A59" w:rsidRDefault="00A5593B" w:rsidP="00A5593B">
      <w:pPr>
        <w:spacing w:after="0" w:line="276" w:lineRule="auto"/>
        <w:jc w:val="both"/>
        <w:rPr>
          <w:rFonts w:ascii="Arial" w:hAnsi="Arial" w:cs="Arial"/>
          <w:color w:val="FF0000"/>
          <w:sz w:val="22"/>
          <w:szCs w:val="22"/>
        </w:rPr>
      </w:pPr>
      <w:r w:rsidRPr="00F43A59">
        <w:rPr>
          <w:rFonts w:ascii="Arial" w:hAnsi="Arial" w:cs="Arial"/>
          <w:b/>
          <w:bCs/>
          <w:sz w:val="22"/>
          <w:szCs w:val="22"/>
        </w:rPr>
        <w:t>RELEVANT LEGISLATION, POLICIES AND GUIDANCE</w:t>
      </w:r>
    </w:p>
    <w:p w14:paraId="5B899F40" w14:textId="77777777" w:rsidR="00A5593B" w:rsidRPr="00F43A59" w:rsidRDefault="00A5593B" w:rsidP="00A5593B">
      <w:pPr>
        <w:spacing w:after="0" w:line="276" w:lineRule="auto"/>
        <w:jc w:val="both"/>
        <w:rPr>
          <w:rFonts w:ascii="Arial" w:hAnsi="Arial" w:cs="Arial"/>
          <w:b/>
          <w:bCs/>
          <w:sz w:val="22"/>
          <w:szCs w:val="22"/>
        </w:rPr>
      </w:pPr>
    </w:p>
    <w:p w14:paraId="49AF4938" w14:textId="77777777" w:rsidR="00A5593B" w:rsidRPr="00F43A59" w:rsidRDefault="00A5593B" w:rsidP="00A5593B">
      <w:pPr>
        <w:spacing w:after="0" w:line="276" w:lineRule="auto"/>
        <w:jc w:val="both"/>
        <w:rPr>
          <w:b/>
          <w:bCs/>
        </w:rPr>
      </w:pPr>
      <w:r w:rsidRPr="00F43A59">
        <w:rPr>
          <w:rFonts w:ascii="Arial" w:hAnsi="Arial" w:cs="Arial"/>
          <w:b/>
          <w:bCs/>
          <w:sz w:val="22"/>
          <w:szCs w:val="22"/>
        </w:rPr>
        <w:t xml:space="preserve">Planning Legislation: </w:t>
      </w:r>
    </w:p>
    <w:p w14:paraId="6498C38E" w14:textId="77777777" w:rsidR="00A5593B" w:rsidRPr="00F43A59" w:rsidRDefault="00A5593B" w:rsidP="00A5593B">
      <w:pPr>
        <w:spacing w:after="0" w:line="276" w:lineRule="auto"/>
        <w:jc w:val="both"/>
        <w:rPr>
          <w:rFonts w:ascii="Arial" w:hAnsi="Arial" w:cs="Arial"/>
          <w:b/>
          <w:bCs/>
          <w:sz w:val="22"/>
          <w:szCs w:val="22"/>
        </w:rPr>
      </w:pPr>
    </w:p>
    <w:p w14:paraId="53931319" w14:textId="77777777" w:rsidR="00A5593B" w:rsidRPr="00F43A59" w:rsidRDefault="00A5593B" w:rsidP="00A5593B">
      <w:pPr>
        <w:pStyle w:val="ListParagraph"/>
        <w:numPr>
          <w:ilvl w:val="0"/>
          <w:numId w:val="14"/>
        </w:numPr>
        <w:spacing w:after="0" w:line="276" w:lineRule="auto"/>
        <w:jc w:val="both"/>
        <w:rPr>
          <w:rFonts w:ascii="Arial" w:hAnsi="Arial" w:cs="Arial"/>
          <w:sz w:val="22"/>
          <w:szCs w:val="22"/>
        </w:rPr>
      </w:pPr>
      <w:r w:rsidRPr="00F43A59">
        <w:rPr>
          <w:rFonts w:ascii="Arial" w:hAnsi="Arial" w:cs="Arial"/>
          <w:color w:val="000000" w:themeColor="text1"/>
          <w:sz w:val="22"/>
          <w:szCs w:val="22"/>
        </w:rPr>
        <w:t>Town and Country Planning Act 1990</w:t>
      </w:r>
    </w:p>
    <w:p w14:paraId="4C50913B" w14:textId="77777777" w:rsidR="00A5593B" w:rsidRPr="00F43A59" w:rsidRDefault="00A5593B" w:rsidP="00A5593B">
      <w:pPr>
        <w:pStyle w:val="ListParagraph"/>
        <w:numPr>
          <w:ilvl w:val="0"/>
          <w:numId w:val="14"/>
        </w:numPr>
        <w:spacing w:after="0" w:line="276" w:lineRule="auto"/>
        <w:jc w:val="both"/>
        <w:rPr>
          <w:rFonts w:ascii="Arial" w:hAnsi="Arial" w:cs="Arial"/>
          <w:sz w:val="22"/>
          <w:szCs w:val="22"/>
        </w:rPr>
      </w:pPr>
      <w:r w:rsidRPr="00F43A59">
        <w:rPr>
          <w:rFonts w:ascii="Arial" w:hAnsi="Arial" w:cs="Arial"/>
          <w:color w:val="000000" w:themeColor="text1"/>
          <w:sz w:val="22"/>
          <w:szCs w:val="22"/>
        </w:rPr>
        <w:t>Planning and Compulsory Purchase Act 2004</w:t>
      </w:r>
    </w:p>
    <w:p w14:paraId="49E05488" w14:textId="77777777" w:rsidR="00A5593B" w:rsidRPr="00F43A59" w:rsidRDefault="00A5593B" w:rsidP="00A5593B">
      <w:pPr>
        <w:spacing w:after="0" w:line="276" w:lineRule="auto"/>
        <w:jc w:val="both"/>
        <w:rPr>
          <w:rFonts w:ascii="Arial" w:hAnsi="Arial" w:cs="Arial"/>
          <w:b/>
          <w:bCs/>
          <w:sz w:val="22"/>
          <w:szCs w:val="22"/>
        </w:rPr>
      </w:pPr>
    </w:p>
    <w:p w14:paraId="3E17C5EA" w14:textId="77777777" w:rsidR="00A5593B" w:rsidRPr="00F43A59" w:rsidRDefault="00A5593B" w:rsidP="00A5593B">
      <w:pPr>
        <w:spacing w:after="0" w:line="276" w:lineRule="auto"/>
        <w:jc w:val="both"/>
        <w:rPr>
          <w:rFonts w:ascii="Arial" w:hAnsi="Arial" w:cs="Arial"/>
          <w:b/>
          <w:bCs/>
          <w:sz w:val="22"/>
          <w:szCs w:val="22"/>
        </w:rPr>
      </w:pPr>
      <w:r w:rsidRPr="00F43A59">
        <w:rPr>
          <w:rFonts w:ascii="Arial" w:hAnsi="Arial" w:cs="Arial"/>
          <w:b/>
          <w:bCs/>
          <w:sz w:val="22"/>
          <w:szCs w:val="22"/>
        </w:rPr>
        <w:t>Development Plan:</w:t>
      </w:r>
    </w:p>
    <w:p w14:paraId="31107A0D" w14:textId="77777777" w:rsidR="00A5593B" w:rsidRPr="00F43A59" w:rsidRDefault="00A5593B" w:rsidP="00A5593B">
      <w:pPr>
        <w:spacing w:after="0" w:line="276" w:lineRule="auto"/>
        <w:jc w:val="both"/>
        <w:rPr>
          <w:rFonts w:ascii="Arial" w:hAnsi="Arial" w:cs="Arial"/>
          <w:b/>
          <w:bCs/>
          <w:sz w:val="22"/>
          <w:szCs w:val="22"/>
        </w:rPr>
      </w:pPr>
    </w:p>
    <w:p w14:paraId="6027089B" w14:textId="77777777" w:rsidR="00A5593B" w:rsidRPr="00F43A59" w:rsidRDefault="00A5593B" w:rsidP="00A5593B">
      <w:pPr>
        <w:pStyle w:val="ListParagraph"/>
        <w:numPr>
          <w:ilvl w:val="0"/>
          <w:numId w:val="14"/>
        </w:numPr>
        <w:spacing w:after="0" w:line="276" w:lineRule="auto"/>
        <w:jc w:val="both"/>
        <w:rPr>
          <w:rFonts w:ascii="Arial" w:hAnsi="Arial" w:cs="Arial"/>
          <w:sz w:val="22"/>
          <w:szCs w:val="22"/>
        </w:rPr>
      </w:pPr>
      <w:r w:rsidRPr="00F43A59">
        <w:rPr>
          <w:rFonts w:ascii="Arial" w:hAnsi="Arial" w:cs="Arial"/>
          <w:sz w:val="22"/>
          <w:szCs w:val="22"/>
        </w:rPr>
        <w:t>Wiltshire Core Strategy (Adopted January 2015):</w:t>
      </w:r>
    </w:p>
    <w:p w14:paraId="548211E0" w14:textId="77777777" w:rsidR="00A5593B" w:rsidRPr="00F43A59" w:rsidRDefault="00A5593B" w:rsidP="00A5593B">
      <w:pPr>
        <w:pStyle w:val="ListParagraph"/>
        <w:numPr>
          <w:ilvl w:val="1"/>
          <w:numId w:val="14"/>
        </w:numPr>
        <w:spacing w:after="0" w:line="276" w:lineRule="auto"/>
        <w:jc w:val="both"/>
        <w:rPr>
          <w:rFonts w:ascii="Arial" w:hAnsi="Arial" w:cs="Arial"/>
          <w:sz w:val="22"/>
          <w:szCs w:val="22"/>
        </w:rPr>
      </w:pPr>
      <w:r w:rsidRPr="00F43A59">
        <w:rPr>
          <w:rFonts w:ascii="Arial" w:hAnsi="Arial" w:cs="Arial"/>
          <w:sz w:val="22"/>
          <w:szCs w:val="22"/>
        </w:rPr>
        <w:t xml:space="preserve">Core Policy 41: Sustainable construction and low-carbon energy </w:t>
      </w:r>
    </w:p>
    <w:p w14:paraId="1CF4A9F9" w14:textId="77777777" w:rsidR="00A5593B" w:rsidRPr="00F43A59" w:rsidRDefault="00A5593B" w:rsidP="00A5593B">
      <w:pPr>
        <w:pStyle w:val="ListParagraph"/>
        <w:numPr>
          <w:ilvl w:val="1"/>
          <w:numId w:val="14"/>
        </w:numPr>
        <w:spacing w:after="0" w:line="276" w:lineRule="auto"/>
        <w:jc w:val="both"/>
        <w:rPr>
          <w:rFonts w:ascii="Arial" w:hAnsi="Arial" w:cs="Arial"/>
          <w:sz w:val="22"/>
          <w:szCs w:val="22"/>
        </w:rPr>
      </w:pPr>
      <w:r w:rsidRPr="00F43A59">
        <w:rPr>
          <w:rFonts w:ascii="Arial" w:hAnsi="Arial" w:cs="Arial"/>
          <w:sz w:val="22"/>
          <w:szCs w:val="22"/>
        </w:rPr>
        <w:t>Core Policy 57: Ensuring high quality design and place shaping</w:t>
      </w:r>
    </w:p>
    <w:p w14:paraId="1A8FD6CC" w14:textId="77777777" w:rsidR="00A5593B" w:rsidRPr="00F43A59" w:rsidRDefault="00A5593B" w:rsidP="00A5593B">
      <w:pPr>
        <w:pStyle w:val="ListParagraph"/>
        <w:spacing w:after="0" w:line="276" w:lineRule="auto"/>
        <w:ind w:left="1440"/>
        <w:jc w:val="both"/>
        <w:rPr>
          <w:rFonts w:ascii="Arial" w:hAnsi="Arial" w:cs="Arial"/>
          <w:b/>
          <w:bCs/>
          <w:sz w:val="22"/>
          <w:szCs w:val="22"/>
        </w:rPr>
      </w:pPr>
    </w:p>
    <w:p w14:paraId="20B626D2" w14:textId="77777777" w:rsidR="00F43A59" w:rsidRPr="00F43A59" w:rsidRDefault="00F43A59" w:rsidP="00F43A59">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F43A59">
        <w:rPr>
          <w:rFonts w:ascii="Arial" w:eastAsia="Times New Roman" w:hAnsi="Arial" w:cs="Arial"/>
          <w:kern w:val="0"/>
          <w:sz w:val="22"/>
          <w:szCs w:val="22"/>
          <w:lang w:eastAsia="en-GB"/>
          <w14:ligatures w14:val="none"/>
        </w:rPr>
        <w:t>Warminster Neighbourhood Plan 2015/2026 (Made November 2016):</w:t>
      </w:r>
    </w:p>
    <w:p w14:paraId="06FC0036" w14:textId="77777777" w:rsidR="00F43A59" w:rsidRPr="00F43A59" w:rsidRDefault="00F43A59" w:rsidP="00F43A59">
      <w:pPr>
        <w:pStyle w:val="ListParagraph"/>
        <w:numPr>
          <w:ilvl w:val="1"/>
          <w:numId w:val="14"/>
        </w:numPr>
        <w:spacing w:after="0" w:line="276" w:lineRule="auto"/>
        <w:jc w:val="both"/>
        <w:rPr>
          <w:rFonts w:ascii="Arial" w:eastAsia="Times New Roman" w:hAnsi="Arial" w:cs="Arial"/>
          <w:kern w:val="0"/>
          <w:sz w:val="22"/>
          <w:szCs w:val="22"/>
          <w:lang w:eastAsia="en-GB"/>
          <w14:ligatures w14:val="none"/>
        </w:rPr>
      </w:pPr>
      <w:r w:rsidRPr="00F43A59">
        <w:rPr>
          <w:rFonts w:ascii="Arial" w:eastAsia="Times New Roman" w:hAnsi="Arial" w:cs="Arial"/>
          <w:kern w:val="0"/>
          <w:sz w:val="22"/>
          <w:szCs w:val="22"/>
          <w:lang w:eastAsia="en-GB"/>
          <w14:ligatures w14:val="none"/>
        </w:rPr>
        <w:t>Policy L1: Design</w:t>
      </w:r>
    </w:p>
    <w:p w14:paraId="37392AEA" w14:textId="77777777" w:rsidR="00A5593B" w:rsidRPr="00F43A59" w:rsidRDefault="00A5593B" w:rsidP="00A5593B">
      <w:pPr>
        <w:spacing w:after="0" w:line="276" w:lineRule="auto"/>
        <w:jc w:val="both"/>
        <w:rPr>
          <w:rFonts w:ascii="Arial" w:hAnsi="Arial" w:cs="Arial"/>
          <w:b/>
          <w:bCs/>
          <w:sz w:val="22"/>
          <w:szCs w:val="22"/>
        </w:rPr>
      </w:pPr>
    </w:p>
    <w:p w14:paraId="27301C84" w14:textId="77777777" w:rsidR="00A5593B" w:rsidRPr="00F43A59" w:rsidRDefault="00A5593B" w:rsidP="00A5593B">
      <w:pPr>
        <w:spacing w:after="0" w:line="276" w:lineRule="auto"/>
        <w:jc w:val="both"/>
        <w:rPr>
          <w:rFonts w:ascii="Arial" w:hAnsi="Arial" w:cs="Arial"/>
          <w:b/>
          <w:bCs/>
          <w:sz w:val="22"/>
          <w:szCs w:val="22"/>
        </w:rPr>
      </w:pPr>
      <w:r w:rsidRPr="00F43A59">
        <w:rPr>
          <w:rFonts w:ascii="Arial" w:hAnsi="Arial" w:cs="Arial"/>
          <w:b/>
          <w:bCs/>
          <w:sz w:val="22"/>
          <w:szCs w:val="22"/>
        </w:rPr>
        <w:t xml:space="preserve">Material Considerations (Policy): </w:t>
      </w:r>
    </w:p>
    <w:p w14:paraId="7BC2AEB2" w14:textId="77777777" w:rsidR="00A5593B" w:rsidRPr="00F43A59" w:rsidRDefault="00A5593B" w:rsidP="00A5593B">
      <w:pPr>
        <w:spacing w:after="0" w:line="276" w:lineRule="auto"/>
        <w:jc w:val="both"/>
        <w:rPr>
          <w:rFonts w:ascii="Arial" w:hAnsi="Arial" w:cs="Arial"/>
          <w:sz w:val="22"/>
          <w:szCs w:val="22"/>
        </w:rPr>
      </w:pPr>
    </w:p>
    <w:p w14:paraId="76B4CC16" w14:textId="77777777" w:rsidR="00A5593B" w:rsidRPr="00F43A59" w:rsidRDefault="00A5593B" w:rsidP="00A5593B">
      <w:pPr>
        <w:pStyle w:val="ListParagraph"/>
        <w:numPr>
          <w:ilvl w:val="0"/>
          <w:numId w:val="14"/>
        </w:numPr>
        <w:spacing w:after="0" w:line="276" w:lineRule="auto"/>
        <w:jc w:val="both"/>
        <w:rPr>
          <w:rFonts w:ascii="Arial" w:hAnsi="Arial" w:cs="Arial"/>
          <w:sz w:val="22"/>
          <w:szCs w:val="22"/>
        </w:rPr>
      </w:pPr>
      <w:r w:rsidRPr="00F43A59">
        <w:rPr>
          <w:rFonts w:ascii="Arial" w:hAnsi="Arial" w:cs="Arial"/>
          <w:sz w:val="22"/>
          <w:szCs w:val="22"/>
        </w:rPr>
        <w:t>National Planning Policy Framework (NPPF) December 2024</w:t>
      </w:r>
    </w:p>
    <w:p w14:paraId="110657B7" w14:textId="77777777" w:rsidR="00A5593B" w:rsidRPr="00F43A59" w:rsidRDefault="00A5593B" w:rsidP="00A5593B">
      <w:pPr>
        <w:pStyle w:val="ListParagraph"/>
        <w:numPr>
          <w:ilvl w:val="1"/>
          <w:numId w:val="14"/>
        </w:numPr>
        <w:spacing w:after="0" w:line="276" w:lineRule="auto"/>
        <w:jc w:val="both"/>
        <w:rPr>
          <w:rFonts w:ascii="Arial" w:hAnsi="Arial" w:cs="Arial"/>
          <w:sz w:val="22"/>
          <w:szCs w:val="22"/>
        </w:rPr>
      </w:pPr>
      <w:r w:rsidRPr="00F43A59">
        <w:rPr>
          <w:rFonts w:ascii="Arial" w:hAnsi="Arial" w:cs="Arial"/>
          <w:sz w:val="22"/>
          <w:szCs w:val="22"/>
        </w:rPr>
        <w:t xml:space="preserve">Section 2. Achieving sustainable development </w:t>
      </w:r>
    </w:p>
    <w:p w14:paraId="3B5FB45D" w14:textId="77777777" w:rsidR="00A5593B" w:rsidRPr="00F43A59" w:rsidRDefault="00A5593B" w:rsidP="00A5593B">
      <w:pPr>
        <w:pStyle w:val="ListParagraph"/>
        <w:numPr>
          <w:ilvl w:val="1"/>
          <w:numId w:val="14"/>
        </w:numPr>
        <w:spacing w:after="0" w:line="276" w:lineRule="auto"/>
        <w:jc w:val="both"/>
        <w:rPr>
          <w:rFonts w:ascii="Arial" w:hAnsi="Arial" w:cs="Arial"/>
          <w:sz w:val="22"/>
          <w:szCs w:val="22"/>
        </w:rPr>
      </w:pPr>
      <w:r w:rsidRPr="00F43A59">
        <w:rPr>
          <w:rFonts w:ascii="Arial" w:hAnsi="Arial" w:cs="Arial"/>
          <w:sz w:val="22"/>
          <w:szCs w:val="22"/>
        </w:rPr>
        <w:t xml:space="preserve">Section 12. Achieving well-designed places </w:t>
      </w:r>
    </w:p>
    <w:p w14:paraId="6197260E" w14:textId="77777777" w:rsidR="00A5593B" w:rsidRPr="00F43A59" w:rsidRDefault="00A5593B" w:rsidP="00A5593B">
      <w:pPr>
        <w:spacing w:after="0" w:line="276" w:lineRule="auto"/>
        <w:jc w:val="both"/>
        <w:rPr>
          <w:rFonts w:ascii="Arial" w:hAnsi="Arial" w:cs="Arial"/>
          <w:sz w:val="22"/>
          <w:szCs w:val="22"/>
        </w:rPr>
      </w:pPr>
    </w:p>
    <w:p w14:paraId="7E9BD1DB" w14:textId="77777777" w:rsidR="00A5593B" w:rsidRPr="00F43A59" w:rsidRDefault="00A5593B" w:rsidP="00A5593B">
      <w:pPr>
        <w:pStyle w:val="ListParagraph"/>
        <w:numPr>
          <w:ilvl w:val="0"/>
          <w:numId w:val="14"/>
        </w:numPr>
        <w:spacing w:after="0" w:line="276" w:lineRule="auto"/>
        <w:jc w:val="both"/>
        <w:rPr>
          <w:rFonts w:ascii="Arial" w:hAnsi="Arial" w:cs="Arial"/>
          <w:sz w:val="22"/>
          <w:szCs w:val="22"/>
        </w:rPr>
      </w:pPr>
      <w:r w:rsidRPr="00F43A59">
        <w:rPr>
          <w:rFonts w:ascii="Arial" w:hAnsi="Arial" w:cs="Arial"/>
          <w:sz w:val="22"/>
          <w:szCs w:val="22"/>
        </w:rPr>
        <w:t>Wiltshire Local Plan Submission Draft 2020-2038 (Regulation 24):</w:t>
      </w:r>
    </w:p>
    <w:p w14:paraId="3ACEB88B" w14:textId="77777777" w:rsidR="00A5593B" w:rsidRPr="00F43A59" w:rsidRDefault="00A5593B" w:rsidP="00A5593B">
      <w:pPr>
        <w:pStyle w:val="ListParagraph"/>
        <w:numPr>
          <w:ilvl w:val="1"/>
          <w:numId w:val="14"/>
        </w:numPr>
        <w:spacing w:after="0" w:line="276" w:lineRule="auto"/>
        <w:jc w:val="both"/>
        <w:rPr>
          <w:rFonts w:ascii="Arial" w:hAnsi="Arial" w:cs="Arial"/>
          <w:color w:val="000000" w:themeColor="text1"/>
          <w:sz w:val="22"/>
          <w:szCs w:val="22"/>
        </w:rPr>
      </w:pPr>
      <w:r w:rsidRPr="00F43A59">
        <w:rPr>
          <w:rFonts w:ascii="Arial" w:hAnsi="Arial" w:cs="Arial"/>
          <w:color w:val="000000" w:themeColor="text1"/>
          <w:sz w:val="22"/>
          <w:szCs w:val="22"/>
        </w:rPr>
        <w:t>Policy 4: Addressing climate change</w:t>
      </w:r>
    </w:p>
    <w:p w14:paraId="278A7B3F" w14:textId="77777777" w:rsidR="00A5593B" w:rsidRPr="00F43A59" w:rsidRDefault="00A5593B" w:rsidP="00A5593B">
      <w:pPr>
        <w:pStyle w:val="ListParagraph"/>
        <w:numPr>
          <w:ilvl w:val="1"/>
          <w:numId w:val="14"/>
        </w:numPr>
        <w:spacing w:after="0" w:line="276" w:lineRule="auto"/>
        <w:jc w:val="both"/>
        <w:rPr>
          <w:rFonts w:ascii="Arial" w:hAnsi="Arial" w:cs="Arial"/>
          <w:color w:val="000000" w:themeColor="text1"/>
          <w:sz w:val="22"/>
          <w:szCs w:val="22"/>
        </w:rPr>
      </w:pPr>
      <w:r w:rsidRPr="00F43A59">
        <w:rPr>
          <w:rFonts w:ascii="Arial" w:hAnsi="Arial" w:cs="Arial"/>
          <w:color w:val="000000" w:themeColor="text1"/>
          <w:sz w:val="22"/>
          <w:szCs w:val="22"/>
        </w:rPr>
        <w:t>Policy 85: Sustainable construction and low carbon energy</w:t>
      </w:r>
    </w:p>
    <w:p w14:paraId="06A6F60F" w14:textId="77777777" w:rsidR="00A5593B" w:rsidRPr="00F43A59" w:rsidRDefault="00A5593B" w:rsidP="00A5593B">
      <w:pPr>
        <w:pStyle w:val="ListParagraph"/>
        <w:numPr>
          <w:ilvl w:val="1"/>
          <w:numId w:val="14"/>
        </w:numPr>
        <w:spacing w:after="0" w:line="276" w:lineRule="auto"/>
        <w:jc w:val="both"/>
        <w:rPr>
          <w:rFonts w:ascii="Arial" w:hAnsi="Arial" w:cs="Arial"/>
          <w:sz w:val="22"/>
          <w:szCs w:val="22"/>
        </w:rPr>
      </w:pPr>
      <w:r w:rsidRPr="00F43A59">
        <w:rPr>
          <w:rFonts w:ascii="Arial" w:hAnsi="Arial" w:cs="Arial"/>
          <w:sz w:val="22"/>
          <w:szCs w:val="22"/>
        </w:rPr>
        <w:t>Policy 98: Ensuring high quality design and place shaping</w:t>
      </w:r>
    </w:p>
    <w:p w14:paraId="4E3A4C94" w14:textId="77777777" w:rsidR="00A5593B" w:rsidRPr="00F43A59" w:rsidRDefault="00A5593B" w:rsidP="00A5593B">
      <w:pPr>
        <w:pStyle w:val="ListParagraph"/>
        <w:spacing w:after="0" w:line="276" w:lineRule="auto"/>
        <w:ind w:left="1440"/>
        <w:jc w:val="both"/>
        <w:rPr>
          <w:rFonts w:ascii="Arial" w:hAnsi="Arial" w:cs="Arial"/>
          <w:sz w:val="22"/>
          <w:szCs w:val="22"/>
        </w:rPr>
      </w:pPr>
    </w:p>
    <w:p w14:paraId="2D98AD46" w14:textId="77777777" w:rsidR="00A5593B" w:rsidRPr="00F43A59" w:rsidRDefault="00A5593B" w:rsidP="00A5593B">
      <w:pPr>
        <w:spacing w:after="0" w:line="276" w:lineRule="auto"/>
        <w:jc w:val="both"/>
        <w:rPr>
          <w:rFonts w:ascii="Arial" w:hAnsi="Arial" w:cs="Arial"/>
          <w:b/>
          <w:bCs/>
          <w:sz w:val="22"/>
          <w:szCs w:val="22"/>
        </w:rPr>
      </w:pPr>
      <w:r w:rsidRPr="00F43A59">
        <w:rPr>
          <w:rFonts w:ascii="Arial" w:hAnsi="Arial" w:cs="Arial"/>
          <w:b/>
          <w:bCs/>
          <w:sz w:val="22"/>
          <w:szCs w:val="22"/>
        </w:rPr>
        <w:t xml:space="preserve">Material Considerations (Guidance): </w:t>
      </w:r>
    </w:p>
    <w:p w14:paraId="553C124C" w14:textId="77777777" w:rsidR="00A5593B" w:rsidRPr="00F43A59" w:rsidRDefault="00A5593B" w:rsidP="00A5593B">
      <w:pPr>
        <w:spacing w:after="0" w:line="276" w:lineRule="auto"/>
        <w:jc w:val="both"/>
        <w:rPr>
          <w:rFonts w:ascii="Arial" w:hAnsi="Arial" w:cs="Arial"/>
          <w:b/>
          <w:bCs/>
          <w:sz w:val="22"/>
          <w:szCs w:val="22"/>
        </w:rPr>
      </w:pPr>
    </w:p>
    <w:p w14:paraId="7C96CC77" w14:textId="77777777" w:rsidR="00A5593B" w:rsidRPr="00F43A59" w:rsidRDefault="00A5593B" w:rsidP="00A5593B">
      <w:pPr>
        <w:pStyle w:val="ListParagraph"/>
        <w:numPr>
          <w:ilvl w:val="0"/>
          <w:numId w:val="14"/>
        </w:numPr>
        <w:spacing w:after="0" w:line="276" w:lineRule="auto"/>
        <w:jc w:val="both"/>
        <w:rPr>
          <w:rFonts w:ascii="Arial" w:hAnsi="Arial" w:cs="Arial"/>
          <w:sz w:val="22"/>
          <w:szCs w:val="22"/>
        </w:rPr>
      </w:pPr>
      <w:r w:rsidRPr="00F43A59">
        <w:rPr>
          <w:rFonts w:ascii="Arial" w:hAnsi="Arial" w:cs="Arial"/>
          <w:sz w:val="22"/>
          <w:szCs w:val="22"/>
        </w:rPr>
        <w:t xml:space="preserve">National Planning Practice Guidance </w:t>
      </w:r>
    </w:p>
    <w:p w14:paraId="402EEFC9" w14:textId="77777777" w:rsidR="00A5593B" w:rsidRPr="00F43A59" w:rsidRDefault="00A5593B" w:rsidP="00A5593B">
      <w:pPr>
        <w:pStyle w:val="ListParagraph"/>
        <w:numPr>
          <w:ilvl w:val="0"/>
          <w:numId w:val="14"/>
        </w:numPr>
        <w:spacing w:after="0" w:line="276" w:lineRule="auto"/>
        <w:jc w:val="both"/>
        <w:rPr>
          <w:rFonts w:ascii="Arial" w:hAnsi="Arial" w:cs="Arial"/>
          <w:sz w:val="22"/>
          <w:szCs w:val="22"/>
        </w:rPr>
      </w:pPr>
      <w:r w:rsidRPr="00F43A59">
        <w:rPr>
          <w:rFonts w:ascii="Arial" w:hAnsi="Arial" w:cs="Arial"/>
          <w:sz w:val="22"/>
          <w:szCs w:val="22"/>
        </w:rPr>
        <w:t>National Design Guide (January 2021)</w:t>
      </w:r>
    </w:p>
    <w:p w14:paraId="63B1C3EA" w14:textId="77777777" w:rsidR="00A5593B" w:rsidRPr="00F43A59" w:rsidRDefault="00A5593B" w:rsidP="00A5593B">
      <w:pPr>
        <w:pStyle w:val="ListParagraph"/>
        <w:numPr>
          <w:ilvl w:val="0"/>
          <w:numId w:val="14"/>
        </w:numPr>
        <w:spacing w:after="0" w:line="276" w:lineRule="auto"/>
        <w:jc w:val="both"/>
        <w:rPr>
          <w:rFonts w:ascii="Arial" w:hAnsi="Arial" w:cs="Arial"/>
          <w:sz w:val="22"/>
          <w:szCs w:val="22"/>
        </w:rPr>
      </w:pPr>
      <w:r w:rsidRPr="00F43A59">
        <w:rPr>
          <w:rFonts w:ascii="Arial" w:hAnsi="Arial" w:cs="Arial"/>
          <w:sz w:val="22"/>
          <w:szCs w:val="22"/>
        </w:rPr>
        <w:t>Wiltshire Design Guide (March 2024)</w:t>
      </w:r>
    </w:p>
    <w:p w14:paraId="35B5D64E" w14:textId="77777777" w:rsidR="00A5593B" w:rsidRPr="00A5593B" w:rsidRDefault="00A5593B" w:rsidP="00A5593B">
      <w:pPr>
        <w:pStyle w:val="ListParagraph"/>
        <w:spacing w:after="0" w:line="276" w:lineRule="auto"/>
        <w:rPr>
          <w:rFonts w:ascii="Arial" w:hAnsi="Arial" w:cs="Arial"/>
          <w:sz w:val="22"/>
          <w:szCs w:val="22"/>
          <w:highlight w:val="yellow"/>
        </w:rPr>
      </w:pPr>
    </w:p>
    <w:p w14:paraId="1BEB3033" w14:textId="77777777" w:rsidR="00A5593B" w:rsidRPr="00CC7259" w:rsidRDefault="00A5593B" w:rsidP="00A5593B">
      <w:pPr>
        <w:spacing w:after="0" w:line="276" w:lineRule="auto"/>
        <w:jc w:val="both"/>
        <w:rPr>
          <w:rFonts w:ascii="Arial" w:eastAsia="Times New Roman" w:hAnsi="Arial" w:cs="Arial"/>
          <w:b/>
          <w:bCs/>
          <w:color w:val="FF0000"/>
          <w:kern w:val="0"/>
          <w:sz w:val="22"/>
          <w:szCs w:val="22"/>
          <w:lang w:eastAsia="en-GB"/>
          <w14:ligatures w14:val="none"/>
        </w:rPr>
      </w:pPr>
      <w:r w:rsidRPr="00CC7259">
        <w:rPr>
          <w:rFonts w:ascii="Arial" w:eastAsia="Times New Roman" w:hAnsi="Arial" w:cs="Arial"/>
          <w:b/>
          <w:bCs/>
          <w:kern w:val="0"/>
          <w:sz w:val="22"/>
          <w:szCs w:val="22"/>
          <w:lang w:eastAsia="en-GB"/>
          <w14:ligatures w14:val="none"/>
        </w:rPr>
        <w:t>CONSULTATION RESPONSES</w:t>
      </w:r>
    </w:p>
    <w:p w14:paraId="69EC86D7" w14:textId="77777777" w:rsidR="00CC7259" w:rsidRPr="00CC7259" w:rsidRDefault="00CC7259" w:rsidP="00CC7259">
      <w:pPr>
        <w:spacing w:after="0" w:line="276" w:lineRule="auto"/>
        <w:jc w:val="both"/>
        <w:rPr>
          <w:rFonts w:ascii="Arial" w:eastAsia="Times New Roman" w:hAnsi="Arial" w:cs="Arial"/>
          <w:b/>
          <w:bCs/>
          <w:color w:val="FF0000"/>
          <w:kern w:val="0"/>
          <w:sz w:val="22"/>
          <w:szCs w:val="22"/>
          <w:lang w:eastAsia="en-GB"/>
          <w14:ligatures w14:val="none"/>
        </w:rPr>
      </w:pPr>
    </w:p>
    <w:p w14:paraId="622916B7" w14:textId="37709B54" w:rsidR="00CC7259" w:rsidRPr="00CC7259" w:rsidRDefault="000162B1" w:rsidP="00A5593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Warminster Town Council - </w:t>
      </w:r>
      <w:r w:rsidR="00CC7259" w:rsidRPr="00CC7259">
        <w:rPr>
          <w:rFonts w:ascii="Arial" w:eastAsia="Times New Roman" w:hAnsi="Arial" w:cs="Arial"/>
          <w:color w:val="000000" w:themeColor="text1"/>
          <w:kern w:val="0"/>
          <w:sz w:val="22"/>
          <w:szCs w:val="22"/>
          <w:lang w:eastAsia="en-GB"/>
          <w14:ligatures w14:val="none"/>
        </w:rPr>
        <w:t xml:space="preserve">No </w:t>
      </w:r>
      <w:r>
        <w:rPr>
          <w:rFonts w:ascii="Arial" w:eastAsia="Times New Roman" w:hAnsi="Arial" w:cs="Arial"/>
          <w:color w:val="000000" w:themeColor="text1"/>
          <w:kern w:val="0"/>
          <w:sz w:val="22"/>
          <w:szCs w:val="22"/>
          <w:lang w:eastAsia="en-GB"/>
          <w14:ligatures w14:val="none"/>
        </w:rPr>
        <w:t>objection</w:t>
      </w:r>
      <w:r w:rsidR="00CC7259" w:rsidRPr="00CC7259">
        <w:rPr>
          <w:rFonts w:ascii="Arial" w:eastAsia="Times New Roman" w:hAnsi="Arial" w:cs="Arial"/>
          <w:color w:val="000000" w:themeColor="text1"/>
          <w:kern w:val="0"/>
          <w:sz w:val="22"/>
          <w:szCs w:val="22"/>
          <w:lang w:eastAsia="en-GB"/>
          <w14:ligatures w14:val="none"/>
        </w:rPr>
        <w:t xml:space="preserve">.  </w:t>
      </w:r>
    </w:p>
    <w:p w14:paraId="18A3CD97" w14:textId="77777777" w:rsidR="00A5593B" w:rsidRPr="00CC7259" w:rsidRDefault="00A5593B" w:rsidP="00A5593B">
      <w:pPr>
        <w:spacing w:after="0" w:line="276" w:lineRule="auto"/>
        <w:jc w:val="both"/>
        <w:rPr>
          <w:rFonts w:ascii="Arial" w:eastAsia="Times New Roman" w:hAnsi="Arial" w:cs="Arial"/>
          <w:b/>
          <w:bCs/>
          <w:color w:val="FF0000"/>
          <w:kern w:val="0"/>
          <w:sz w:val="22"/>
          <w:szCs w:val="22"/>
          <w:lang w:eastAsia="en-GB"/>
          <w14:ligatures w14:val="none"/>
        </w:rPr>
      </w:pPr>
    </w:p>
    <w:p w14:paraId="5F12C982" w14:textId="77777777" w:rsidR="00A5593B" w:rsidRPr="00CC7259" w:rsidRDefault="00A5593B" w:rsidP="00A5593B">
      <w:pPr>
        <w:spacing w:after="0" w:line="276" w:lineRule="auto"/>
        <w:jc w:val="both"/>
        <w:rPr>
          <w:rFonts w:ascii="Arial" w:eastAsia="Times New Roman" w:hAnsi="Arial" w:cs="Arial"/>
          <w:b/>
          <w:bCs/>
          <w:kern w:val="0"/>
          <w:sz w:val="22"/>
          <w:szCs w:val="22"/>
          <w:lang w:eastAsia="en-GB"/>
          <w14:ligatures w14:val="none"/>
        </w:rPr>
      </w:pPr>
      <w:r w:rsidRPr="00CC7259">
        <w:rPr>
          <w:rFonts w:ascii="Arial" w:eastAsia="Times New Roman" w:hAnsi="Arial" w:cs="Arial"/>
          <w:b/>
          <w:bCs/>
          <w:kern w:val="0"/>
          <w:sz w:val="22"/>
          <w:szCs w:val="22"/>
          <w:lang w:eastAsia="en-GB"/>
          <w14:ligatures w14:val="none"/>
        </w:rPr>
        <w:t>REPRESENTATIONS</w:t>
      </w:r>
    </w:p>
    <w:p w14:paraId="6EC96E25" w14:textId="77777777" w:rsidR="00A5593B" w:rsidRPr="00CC7259" w:rsidRDefault="00A5593B" w:rsidP="00A5593B">
      <w:pPr>
        <w:spacing w:after="0" w:line="276" w:lineRule="auto"/>
        <w:jc w:val="both"/>
        <w:rPr>
          <w:rFonts w:ascii="Arial" w:eastAsia="Times New Roman" w:hAnsi="Arial" w:cs="Arial"/>
          <w:b/>
          <w:bCs/>
          <w:color w:val="FF0000"/>
          <w:kern w:val="0"/>
          <w:sz w:val="22"/>
          <w:szCs w:val="22"/>
          <w:lang w:eastAsia="en-GB"/>
          <w14:ligatures w14:val="none"/>
        </w:rPr>
      </w:pPr>
    </w:p>
    <w:p w14:paraId="40936D30" w14:textId="77777777" w:rsidR="00A5593B" w:rsidRPr="00FD2010" w:rsidRDefault="00A5593B" w:rsidP="00A5593B">
      <w:pPr>
        <w:spacing w:after="0" w:line="276" w:lineRule="auto"/>
        <w:jc w:val="both"/>
        <w:rPr>
          <w:rFonts w:ascii="Arial" w:eastAsia="Times New Roman" w:hAnsi="Arial" w:cs="Arial"/>
          <w:color w:val="000000" w:themeColor="text1"/>
          <w:kern w:val="0"/>
          <w:sz w:val="22"/>
          <w:szCs w:val="22"/>
          <w:lang w:eastAsia="en-GB"/>
          <w14:ligatures w14:val="none"/>
        </w:rPr>
      </w:pPr>
      <w:r w:rsidRPr="00CC7259">
        <w:rPr>
          <w:rFonts w:ascii="Arial" w:eastAsia="Times New Roman" w:hAnsi="Arial" w:cs="Arial"/>
          <w:color w:val="000000" w:themeColor="text1"/>
          <w:kern w:val="0"/>
          <w:sz w:val="22"/>
          <w:szCs w:val="22"/>
          <w:lang w:eastAsia="en-GB"/>
          <w14:ligatures w14:val="none"/>
        </w:rPr>
        <w:t>No comments were received.</w:t>
      </w:r>
      <w:r w:rsidRPr="00FD2010">
        <w:rPr>
          <w:rFonts w:ascii="Arial" w:eastAsia="Times New Roman" w:hAnsi="Arial" w:cs="Arial"/>
          <w:color w:val="000000" w:themeColor="text1"/>
          <w:kern w:val="0"/>
          <w:sz w:val="22"/>
          <w:szCs w:val="22"/>
          <w:lang w:eastAsia="en-GB"/>
          <w14:ligatures w14:val="none"/>
        </w:rPr>
        <w:t xml:space="preserve">  </w:t>
      </w:r>
    </w:p>
    <w:p w14:paraId="72D0AC11" w14:textId="77777777" w:rsidR="00A5593B" w:rsidRPr="00AE69C9" w:rsidRDefault="00A5593B" w:rsidP="00A5593B">
      <w:pPr>
        <w:spacing w:after="0" w:line="276" w:lineRule="auto"/>
        <w:jc w:val="both"/>
        <w:rPr>
          <w:rFonts w:ascii="Arial" w:eastAsia="Times New Roman" w:hAnsi="Arial" w:cs="Arial"/>
          <w:b/>
          <w:bCs/>
          <w:color w:val="FF0000"/>
          <w:kern w:val="0"/>
          <w:sz w:val="22"/>
          <w:szCs w:val="22"/>
          <w:highlight w:val="yellow"/>
          <w:lang w:eastAsia="en-GB"/>
          <w14:ligatures w14:val="none"/>
        </w:rPr>
      </w:pPr>
    </w:p>
    <w:p w14:paraId="62BD62C1" w14:textId="77777777" w:rsidR="00DC3381" w:rsidRPr="003E4648" w:rsidRDefault="00DC3381" w:rsidP="00DC3381">
      <w:pPr>
        <w:spacing w:after="0" w:line="276" w:lineRule="auto"/>
        <w:jc w:val="both"/>
        <w:rPr>
          <w:rFonts w:ascii="Arial" w:eastAsia="Times New Roman" w:hAnsi="Arial" w:cs="Arial"/>
          <w:b/>
          <w:bCs/>
          <w:kern w:val="0"/>
          <w:sz w:val="22"/>
          <w:szCs w:val="22"/>
          <w:lang w:eastAsia="en-GB"/>
          <w14:ligatures w14:val="none"/>
        </w:rPr>
      </w:pPr>
      <w:r w:rsidRPr="003E4648">
        <w:rPr>
          <w:rFonts w:ascii="Arial" w:eastAsia="Times New Roman" w:hAnsi="Arial" w:cs="Arial"/>
          <w:b/>
          <w:bCs/>
          <w:kern w:val="0"/>
          <w:sz w:val="22"/>
          <w:szCs w:val="22"/>
          <w:lang w:eastAsia="en-GB"/>
          <w14:ligatures w14:val="none"/>
        </w:rPr>
        <w:t>ASSESSMENT</w:t>
      </w:r>
    </w:p>
    <w:p w14:paraId="16827D41" w14:textId="77777777" w:rsidR="00DC3381" w:rsidRPr="003E4648" w:rsidRDefault="00DC3381" w:rsidP="00DC3381">
      <w:pPr>
        <w:spacing w:after="0" w:line="276" w:lineRule="auto"/>
        <w:jc w:val="both"/>
        <w:rPr>
          <w:rFonts w:ascii="Arial" w:eastAsia="Times New Roman" w:hAnsi="Arial" w:cs="Arial"/>
          <w:b/>
          <w:bCs/>
          <w:color w:val="FF0000"/>
          <w:kern w:val="0"/>
          <w:sz w:val="22"/>
          <w:szCs w:val="22"/>
          <w:lang w:eastAsia="en-GB"/>
          <w14:ligatures w14:val="none"/>
        </w:rPr>
      </w:pPr>
    </w:p>
    <w:p w14:paraId="270BD2BF" w14:textId="77777777" w:rsidR="00DC3381" w:rsidRPr="003E4648" w:rsidRDefault="00DC3381" w:rsidP="00DC3381">
      <w:pPr>
        <w:spacing w:after="0" w:line="276" w:lineRule="auto"/>
        <w:jc w:val="both"/>
        <w:rPr>
          <w:rFonts w:ascii="Arial" w:hAnsi="Arial" w:cs="Arial"/>
          <w:color w:val="000000" w:themeColor="text1"/>
          <w:sz w:val="22"/>
          <w:szCs w:val="22"/>
        </w:rPr>
      </w:pPr>
      <w:r w:rsidRPr="003E4648">
        <w:rPr>
          <w:rFonts w:ascii="Arial" w:hAnsi="Arial" w:cs="Arial"/>
          <w:color w:val="000000" w:themeColor="text1"/>
          <w:sz w:val="22"/>
          <w:szCs w:val="22"/>
        </w:rPr>
        <w:t xml:space="preserve">Section 38(6) of the Planning and Compulsory Purchase Act 2004 states that planning decisions must be made in accordance with the </w:t>
      </w:r>
      <w:r w:rsidRPr="003E4648">
        <w:rPr>
          <w:rFonts w:ascii="Arial" w:hAnsi="Arial" w:cs="Arial"/>
          <w:color w:val="000000" w:themeColor="text1"/>
          <w:sz w:val="22"/>
          <w:szCs w:val="22"/>
          <w:u w:val="single"/>
        </w:rPr>
        <w:t>development plan</w:t>
      </w:r>
      <w:r w:rsidRPr="003E4648">
        <w:rPr>
          <w:rFonts w:ascii="Arial" w:hAnsi="Arial" w:cs="Arial"/>
          <w:color w:val="000000" w:themeColor="text1"/>
          <w:sz w:val="22"/>
          <w:szCs w:val="22"/>
        </w:rPr>
        <w:t xml:space="preserve"> unless </w:t>
      </w:r>
      <w:r w:rsidRPr="003E4648">
        <w:rPr>
          <w:rFonts w:ascii="Arial" w:hAnsi="Arial" w:cs="Arial"/>
          <w:color w:val="000000" w:themeColor="text1"/>
          <w:sz w:val="22"/>
          <w:szCs w:val="22"/>
          <w:u w:val="single"/>
        </w:rPr>
        <w:t>material considerations</w:t>
      </w:r>
      <w:r w:rsidRPr="003E4648">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0BA0C2B4" w14:textId="77777777" w:rsidR="00DC3381" w:rsidRPr="003E4648" w:rsidRDefault="00DC3381" w:rsidP="00DC3381">
      <w:pPr>
        <w:spacing w:after="0" w:line="276" w:lineRule="auto"/>
        <w:jc w:val="both"/>
        <w:rPr>
          <w:rFonts w:ascii="Arial" w:hAnsi="Arial" w:cs="Arial"/>
          <w:color w:val="000000" w:themeColor="text1"/>
          <w:sz w:val="22"/>
          <w:szCs w:val="22"/>
        </w:rPr>
      </w:pPr>
    </w:p>
    <w:p w14:paraId="315A3AA6" w14:textId="77777777" w:rsidR="00DC3381" w:rsidRPr="003E4648" w:rsidRDefault="00DC3381" w:rsidP="00DC3381">
      <w:pPr>
        <w:spacing w:after="0" w:line="276" w:lineRule="auto"/>
        <w:jc w:val="both"/>
        <w:rPr>
          <w:rFonts w:ascii="Arial" w:hAnsi="Arial" w:cs="Arial"/>
          <w:b/>
          <w:bCs/>
          <w:sz w:val="22"/>
          <w:szCs w:val="22"/>
        </w:rPr>
      </w:pPr>
      <w:r w:rsidRPr="003E4648">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6D88C22D" w14:textId="77777777" w:rsidR="00DC3381" w:rsidRPr="003E4648" w:rsidRDefault="00DC3381" w:rsidP="00DC3381">
      <w:pPr>
        <w:spacing w:after="0" w:line="276" w:lineRule="auto"/>
        <w:jc w:val="both"/>
        <w:rPr>
          <w:rFonts w:ascii="Arial" w:hAnsi="Arial" w:cs="Arial"/>
          <w:b/>
          <w:bCs/>
          <w:sz w:val="22"/>
          <w:szCs w:val="22"/>
        </w:rPr>
      </w:pPr>
    </w:p>
    <w:p w14:paraId="328E2A51" w14:textId="77777777" w:rsidR="00DC3381" w:rsidRPr="003E4648" w:rsidRDefault="00DC3381" w:rsidP="00DC3381">
      <w:pPr>
        <w:pStyle w:val="ListParagraph"/>
        <w:numPr>
          <w:ilvl w:val="0"/>
          <w:numId w:val="17"/>
        </w:numPr>
        <w:spacing w:after="0" w:line="276" w:lineRule="auto"/>
        <w:jc w:val="both"/>
        <w:rPr>
          <w:rFonts w:ascii="Arial" w:hAnsi="Arial" w:cs="Arial"/>
          <w:sz w:val="22"/>
          <w:szCs w:val="22"/>
        </w:rPr>
      </w:pPr>
      <w:r w:rsidRPr="003E4648">
        <w:rPr>
          <w:rFonts w:ascii="Arial" w:hAnsi="Arial" w:cs="Arial"/>
          <w:sz w:val="22"/>
          <w:szCs w:val="22"/>
        </w:rPr>
        <w:t>Design</w:t>
      </w:r>
    </w:p>
    <w:p w14:paraId="12FA238B" w14:textId="77777777" w:rsidR="00DC3381" w:rsidRPr="003E4648" w:rsidRDefault="00DC3381" w:rsidP="00DC3381">
      <w:pPr>
        <w:pStyle w:val="ListParagraph"/>
        <w:numPr>
          <w:ilvl w:val="0"/>
          <w:numId w:val="17"/>
        </w:numPr>
        <w:spacing w:after="0" w:line="276" w:lineRule="auto"/>
        <w:jc w:val="both"/>
        <w:rPr>
          <w:rFonts w:ascii="Arial" w:hAnsi="Arial" w:cs="Arial"/>
          <w:sz w:val="22"/>
          <w:szCs w:val="22"/>
        </w:rPr>
      </w:pPr>
      <w:r>
        <w:rPr>
          <w:rFonts w:ascii="Arial" w:hAnsi="Arial" w:cs="Arial"/>
          <w:sz w:val="22"/>
          <w:szCs w:val="22"/>
        </w:rPr>
        <w:t>Neighbouring</w:t>
      </w:r>
      <w:r w:rsidRPr="003E4648">
        <w:rPr>
          <w:rFonts w:ascii="Arial" w:hAnsi="Arial" w:cs="Arial"/>
          <w:sz w:val="22"/>
          <w:szCs w:val="22"/>
        </w:rPr>
        <w:t xml:space="preserve"> amenity</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C97FFED" w14:textId="77777777" w:rsidR="008C318B" w:rsidRPr="005A2D67" w:rsidRDefault="008C318B" w:rsidP="008C318B">
      <w:pPr>
        <w:spacing w:after="0" w:line="276" w:lineRule="auto"/>
        <w:jc w:val="both"/>
        <w:rPr>
          <w:rFonts w:ascii="Arial" w:eastAsia="Times New Roman" w:hAnsi="Arial" w:cs="Arial"/>
          <w:b/>
          <w:bCs/>
          <w:kern w:val="0"/>
          <w:sz w:val="22"/>
          <w:szCs w:val="22"/>
          <w:lang w:eastAsia="en-GB"/>
          <w14:ligatures w14:val="none"/>
        </w:rPr>
      </w:pPr>
      <w:r w:rsidRPr="005A2D67">
        <w:rPr>
          <w:rFonts w:ascii="Arial" w:eastAsia="Times New Roman" w:hAnsi="Arial" w:cs="Arial"/>
          <w:b/>
          <w:bCs/>
          <w:kern w:val="0"/>
          <w:sz w:val="22"/>
          <w:szCs w:val="22"/>
          <w:lang w:eastAsia="en-GB"/>
          <w14:ligatures w14:val="none"/>
        </w:rPr>
        <w:t>Design</w:t>
      </w:r>
    </w:p>
    <w:p w14:paraId="4E42079B" w14:textId="77777777" w:rsidR="008C318B" w:rsidRPr="005A2D67" w:rsidRDefault="008C318B" w:rsidP="008C318B">
      <w:pPr>
        <w:spacing w:after="0" w:line="276" w:lineRule="auto"/>
        <w:jc w:val="both"/>
        <w:rPr>
          <w:rFonts w:ascii="Arial" w:eastAsia="Times New Roman" w:hAnsi="Arial" w:cs="Arial"/>
          <w:kern w:val="0"/>
          <w:sz w:val="22"/>
          <w:szCs w:val="22"/>
          <w:u w:val="single"/>
          <w:lang w:eastAsia="en-GB"/>
          <w14:ligatures w14:val="none"/>
        </w:rPr>
      </w:pPr>
    </w:p>
    <w:p w14:paraId="562A9D59" w14:textId="77777777" w:rsidR="008C318B" w:rsidRPr="005A2D67" w:rsidRDefault="008C318B" w:rsidP="008C318B">
      <w:pPr>
        <w:spacing w:after="0" w:line="276" w:lineRule="auto"/>
        <w:jc w:val="both"/>
        <w:rPr>
          <w:rFonts w:ascii="Arial" w:eastAsia="Times New Roman" w:hAnsi="Arial" w:cs="Arial"/>
          <w:kern w:val="0"/>
          <w:sz w:val="22"/>
          <w:szCs w:val="22"/>
          <w:lang w:eastAsia="en-GB"/>
          <w14:ligatures w14:val="none"/>
        </w:rPr>
      </w:pPr>
      <w:r w:rsidRPr="005A2D67">
        <w:rPr>
          <w:rFonts w:ascii="Arial" w:eastAsia="Times New Roman" w:hAnsi="Arial" w:cs="Arial"/>
          <w:kern w:val="0"/>
          <w:sz w:val="22"/>
          <w:szCs w:val="22"/>
          <w:lang w:eastAsia="en-GB"/>
          <w14:ligatures w14:val="none"/>
        </w:rPr>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3BE34995" w14:textId="77777777" w:rsidR="008C318B" w:rsidRPr="005A2D67" w:rsidRDefault="008C318B" w:rsidP="008C318B">
      <w:pPr>
        <w:spacing w:after="0" w:line="276" w:lineRule="auto"/>
        <w:jc w:val="both"/>
        <w:rPr>
          <w:rFonts w:ascii="Arial" w:eastAsia="Times New Roman" w:hAnsi="Arial" w:cs="Arial"/>
          <w:kern w:val="0"/>
          <w:sz w:val="22"/>
          <w:szCs w:val="22"/>
          <w:lang w:eastAsia="en-GB"/>
          <w14:ligatures w14:val="none"/>
        </w:rPr>
      </w:pPr>
    </w:p>
    <w:p w14:paraId="198AA256" w14:textId="77777777" w:rsidR="008C318B" w:rsidRPr="0008778B" w:rsidRDefault="008C318B" w:rsidP="008C318B">
      <w:pPr>
        <w:spacing w:after="0" w:line="276" w:lineRule="auto"/>
        <w:jc w:val="both"/>
        <w:rPr>
          <w:rFonts w:ascii="Arial" w:eastAsia="Times New Roman" w:hAnsi="Arial" w:cs="Arial"/>
          <w:kern w:val="0"/>
          <w:sz w:val="22"/>
          <w:szCs w:val="22"/>
          <w:lang w:eastAsia="en-GB"/>
          <w14:ligatures w14:val="none"/>
        </w:rPr>
      </w:pPr>
      <w:r w:rsidRPr="005A2D67">
        <w:rPr>
          <w:rFonts w:ascii="Arial" w:eastAsia="Times New Roman" w:hAnsi="Arial" w:cs="Arial"/>
          <w:kern w:val="0"/>
          <w:sz w:val="22"/>
          <w:szCs w:val="22"/>
          <w:lang w:eastAsia="en-GB"/>
          <w14:ligatures w14:val="none"/>
        </w:rPr>
        <w:t xml:space="preserve">Appendix D of the Wiltshire Design Guide states that extensions should be subservient to and respect the scale, form, </w:t>
      </w:r>
      <w:r w:rsidRPr="0008778B">
        <w:rPr>
          <w:rFonts w:ascii="Arial" w:eastAsia="Times New Roman" w:hAnsi="Arial" w:cs="Arial"/>
          <w:kern w:val="0"/>
          <w:sz w:val="22"/>
          <w:szCs w:val="22"/>
          <w:lang w:eastAsia="en-GB"/>
          <w14:ligatures w14:val="none"/>
        </w:rPr>
        <w:t>appearance and character of the host dwelling and should harmonise with its context.</w:t>
      </w:r>
    </w:p>
    <w:p w14:paraId="76828279" w14:textId="77777777" w:rsidR="008C318B" w:rsidRPr="0008778B" w:rsidRDefault="008C318B" w:rsidP="008C318B">
      <w:pPr>
        <w:spacing w:after="0" w:line="276" w:lineRule="auto"/>
        <w:jc w:val="both"/>
        <w:rPr>
          <w:rFonts w:ascii="Arial" w:hAnsi="Arial" w:cs="Arial"/>
          <w:sz w:val="22"/>
          <w:szCs w:val="22"/>
        </w:rPr>
      </w:pPr>
    </w:p>
    <w:p w14:paraId="04C9161A" w14:textId="77777777" w:rsidR="005A2D67" w:rsidRPr="0008778B" w:rsidRDefault="005A2D67" w:rsidP="005A2D67">
      <w:pPr>
        <w:spacing w:after="0" w:line="276" w:lineRule="auto"/>
        <w:jc w:val="both"/>
        <w:rPr>
          <w:rFonts w:ascii="Arial" w:eastAsia="Times New Roman" w:hAnsi="Arial" w:cs="Arial"/>
          <w:kern w:val="0"/>
          <w:sz w:val="22"/>
          <w:szCs w:val="22"/>
          <w:lang w:eastAsia="en-GB"/>
          <w14:ligatures w14:val="none"/>
        </w:rPr>
      </w:pPr>
      <w:r w:rsidRPr="0008778B">
        <w:rPr>
          <w:rFonts w:ascii="Arial" w:eastAsia="Times New Roman" w:hAnsi="Arial" w:cs="Arial"/>
          <w:kern w:val="0"/>
          <w:sz w:val="22"/>
          <w:szCs w:val="22"/>
          <w:lang w:eastAsia="en-GB"/>
          <w14:ligatures w14:val="none"/>
        </w:rPr>
        <w:t xml:space="preserve">Policy L1 of the Warminster Neighbourhood Plan encourages the design of development to reflect the principles outlined in Building for Life 12. </w:t>
      </w:r>
    </w:p>
    <w:p w14:paraId="205A2969" w14:textId="77777777" w:rsidR="008C318B" w:rsidRPr="0008778B" w:rsidRDefault="008C318B" w:rsidP="008C318B">
      <w:pPr>
        <w:spacing w:after="0" w:line="276" w:lineRule="auto"/>
        <w:jc w:val="both"/>
        <w:rPr>
          <w:rFonts w:ascii="Arial" w:hAnsi="Arial" w:cs="Arial"/>
          <w:sz w:val="22"/>
          <w:szCs w:val="22"/>
        </w:rPr>
      </w:pPr>
    </w:p>
    <w:p w14:paraId="3DF3701F" w14:textId="06593FE5" w:rsidR="008C318B" w:rsidRPr="0008778B" w:rsidRDefault="008C318B" w:rsidP="008C318B">
      <w:pPr>
        <w:spacing w:after="0" w:line="276" w:lineRule="auto"/>
        <w:jc w:val="both"/>
        <w:rPr>
          <w:rFonts w:ascii="Arial" w:hAnsi="Arial" w:cs="Arial"/>
          <w:sz w:val="22"/>
          <w:szCs w:val="22"/>
        </w:rPr>
      </w:pPr>
      <w:r w:rsidRPr="0008778B">
        <w:rPr>
          <w:rFonts w:ascii="Arial" w:hAnsi="Arial" w:cs="Arial"/>
          <w:color w:val="000000" w:themeColor="text1"/>
          <w:sz w:val="22"/>
          <w:szCs w:val="22"/>
        </w:rPr>
        <w:t>The proposed extension re</w:t>
      </w:r>
      <w:r w:rsidR="005A2D67" w:rsidRPr="0008778B">
        <w:rPr>
          <w:rFonts w:ascii="Arial" w:hAnsi="Arial" w:cs="Arial"/>
          <w:color w:val="000000" w:themeColor="text1"/>
          <w:sz w:val="22"/>
          <w:szCs w:val="22"/>
        </w:rPr>
        <w:t xml:space="preserve">flects the layout and scale of the </w:t>
      </w:r>
      <w:r w:rsidR="00744AC4" w:rsidRPr="0008778B">
        <w:rPr>
          <w:rFonts w:ascii="Arial" w:hAnsi="Arial" w:cs="Arial"/>
          <w:color w:val="000000" w:themeColor="text1"/>
          <w:sz w:val="22"/>
          <w:szCs w:val="22"/>
        </w:rPr>
        <w:t xml:space="preserve">conservatory it replaces and, in so doing, remains </w:t>
      </w:r>
      <w:r w:rsidR="0008778B" w:rsidRPr="0008778B">
        <w:rPr>
          <w:rFonts w:ascii="Arial" w:hAnsi="Arial" w:cs="Arial"/>
          <w:color w:val="000000" w:themeColor="text1"/>
          <w:sz w:val="22"/>
          <w:szCs w:val="22"/>
        </w:rPr>
        <w:t>appropriately secondary and subservient to the host dwelling</w:t>
      </w:r>
      <w:r w:rsidR="00744AC4" w:rsidRPr="0008778B">
        <w:rPr>
          <w:rFonts w:ascii="Arial" w:hAnsi="Arial" w:cs="Arial"/>
          <w:color w:val="000000" w:themeColor="text1"/>
          <w:sz w:val="22"/>
          <w:szCs w:val="22"/>
        </w:rPr>
        <w:t>. In terms of appearance, its pitched roof form</w:t>
      </w:r>
      <w:r w:rsidR="0008778B" w:rsidRPr="0008778B">
        <w:rPr>
          <w:rFonts w:ascii="Arial" w:hAnsi="Arial" w:cs="Arial"/>
          <w:color w:val="000000" w:themeColor="text1"/>
          <w:sz w:val="22"/>
          <w:szCs w:val="22"/>
        </w:rPr>
        <w:t>, style</w:t>
      </w:r>
      <w:r w:rsidR="00744AC4" w:rsidRPr="0008778B">
        <w:rPr>
          <w:rFonts w:ascii="Arial" w:hAnsi="Arial" w:cs="Arial"/>
          <w:color w:val="000000" w:themeColor="text1"/>
          <w:sz w:val="22"/>
          <w:szCs w:val="22"/>
        </w:rPr>
        <w:t xml:space="preserve"> and materials</w:t>
      </w:r>
      <w:r w:rsidR="0008778B" w:rsidRPr="0008778B">
        <w:rPr>
          <w:rFonts w:ascii="Arial" w:hAnsi="Arial" w:cs="Arial"/>
          <w:color w:val="000000" w:themeColor="text1"/>
          <w:sz w:val="22"/>
          <w:szCs w:val="22"/>
        </w:rPr>
        <w:t xml:space="preserve"> palette reflect that of the host dwelling which is </w:t>
      </w:r>
      <w:r w:rsidR="0069763C">
        <w:rPr>
          <w:rFonts w:ascii="Arial" w:hAnsi="Arial" w:cs="Arial"/>
          <w:color w:val="000000" w:themeColor="text1"/>
          <w:sz w:val="22"/>
          <w:szCs w:val="22"/>
        </w:rPr>
        <w:t>similarly</w:t>
      </w:r>
      <w:r w:rsidR="0008778B" w:rsidRPr="0008778B">
        <w:rPr>
          <w:rFonts w:ascii="Arial" w:hAnsi="Arial" w:cs="Arial"/>
          <w:color w:val="000000" w:themeColor="text1"/>
          <w:sz w:val="22"/>
          <w:szCs w:val="22"/>
        </w:rPr>
        <w:t xml:space="preserve"> appropriate.</w:t>
      </w:r>
      <w:r w:rsidRPr="0008778B">
        <w:rPr>
          <w:rFonts w:ascii="Arial" w:hAnsi="Arial" w:cs="Arial"/>
          <w:color w:val="000000" w:themeColor="text1"/>
          <w:sz w:val="22"/>
          <w:szCs w:val="22"/>
        </w:rPr>
        <w:t xml:space="preserve"> </w:t>
      </w:r>
      <w:r w:rsidRPr="0008778B">
        <w:rPr>
          <w:rFonts w:ascii="Arial" w:eastAsia="Times New Roman" w:hAnsi="Arial" w:cs="Arial"/>
          <w:kern w:val="0"/>
          <w:sz w:val="22"/>
          <w:szCs w:val="22"/>
          <w:lang w:eastAsia="en-GB"/>
          <w14:ligatures w14:val="none"/>
        </w:rPr>
        <w:t xml:space="preserve">The proposal therefore </w:t>
      </w:r>
      <w:r w:rsidRPr="0008778B">
        <w:rPr>
          <w:rFonts w:ascii="Arial" w:hAnsi="Arial" w:cs="Arial"/>
          <w:color w:val="000000" w:themeColor="text1"/>
          <w:sz w:val="22"/>
          <w:szCs w:val="22"/>
        </w:rPr>
        <w:t>complies with the design principles set out in Core Policy 57, draft Policy 98, Neighbourhood Plan Polic</w:t>
      </w:r>
      <w:r w:rsidR="0008778B" w:rsidRPr="0008778B">
        <w:rPr>
          <w:rFonts w:ascii="Arial" w:hAnsi="Arial" w:cs="Arial"/>
          <w:color w:val="000000" w:themeColor="text1"/>
          <w:sz w:val="22"/>
          <w:szCs w:val="22"/>
        </w:rPr>
        <w:t>y L1 a</w:t>
      </w:r>
      <w:r w:rsidRPr="0008778B">
        <w:rPr>
          <w:rFonts w:ascii="Arial" w:hAnsi="Arial" w:cs="Arial"/>
          <w:color w:val="000000" w:themeColor="text1"/>
          <w:sz w:val="22"/>
          <w:szCs w:val="22"/>
        </w:rPr>
        <w:t>nd the Design Guide.</w:t>
      </w:r>
    </w:p>
    <w:p w14:paraId="3F2119F9" w14:textId="77777777" w:rsidR="008C318B" w:rsidRPr="008C318B" w:rsidRDefault="008C318B" w:rsidP="008C318B">
      <w:pPr>
        <w:spacing w:after="0" w:line="276" w:lineRule="auto"/>
        <w:jc w:val="both"/>
        <w:rPr>
          <w:rFonts w:ascii="Arial" w:hAnsi="Arial" w:cs="Arial"/>
          <w:b/>
          <w:bCs/>
          <w:i/>
          <w:iCs/>
          <w:color w:val="FF0000"/>
          <w:sz w:val="22"/>
          <w:szCs w:val="22"/>
          <w:highlight w:val="yellow"/>
        </w:rPr>
      </w:pPr>
    </w:p>
    <w:p w14:paraId="73EE2E96" w14:textId="77777777" w:rsidR="008C318B" w:rsidRPr="00BC6437" w:rsidRDefault="008C318B" w:rsidP="008C318B">
      <w:pPr>
        <w:spacing w:after="0" w:line="276" w:lineRule="auto"/>
        <w:jc w:val="both"/>
        <w:rPr>
          <w:rFonts w:ascii="Arial" w:hAnsi="Arial" w:cs="Arial"/>
          <w:b/>
          <w:bCs/>
          <w:color w:val="000000" w:themeColor="text1"/>
          <w:sz w:val="22"/>
          <w:szCs w:val="22"/>
        </w:rPr>
      </w:pPr>
      <w:r w:rsidRPr="00BC6437">
        <w:rPr>
          <w:rFonts w:ascii="Arial" w:hAnsi="Arial" w:cs="Arial"/>
          <w:b/>
          <w:bCs/>
          <w:color w:val="000000" w:themeColor="text1"/>
          <w:sz w:val="22"/>
          <w:szCs w:val="22"/>
        </w:rPr>
        <w:t>Neighbouring Amenity</w:t>
      </w:r>
    </w:p>
    <w:p w14:paraId="137E1520" w14:textId="77777777" w:rsidR="008C318B" w:rsidRPr="00BC6437" w:rsidRDefault="008C318B" w:rsidP="008C318B">
      <w:pPr>
        <w:spacing w:after="0" w:line="276" w:lineRule="auto"/>
        <w:jc w:val="both"/>
        <w:rPr>
          <w:rFonts w:ascii="Arial" w:hAnsi="Arial" w:cs="Arial"/>
          <w:color w:val="000000" w:themeColor="text1"/>
          <w:sz w:val="22"/>
          <w:szCs w:val="22"/>
          <w:u w:val="single"/>
        </w:rPr>
      </w:pPr>
    </w:p>
    <w:p w14:paraId="66FD1E00" w14:textId="77777777" w:rsidR="008C318B" w:rsidRPr="00BC6437" w:rsidRDefault="008C318B" w:rsidP="008C318B">
      <w:pPr>
        <w:spacing w:after="0" w:line="276" w:lineRule="auto"/>
        <w:jc w:val="both"/>
        <w:rPr>
          <w:rFonts w:ascii="Arial" w:eastAsia="Times New Roman" w:hAnsi="Arial" w:cs="Arial"/>
          <w:kern w:val="0"/>
          <w:sz w:val="22"/>
          <w:szCs w:val="22"/>
          <w:lang w:eastAsia="en-GB"/>
          <w14:ligatures w14:val="none"/>
        </w:rPr>
      </w:pPr>
      <w:r w:rsidRPr="00BC6437">
        <w:rPr>
          <w:rFonts w:ascii="Arial" w:eastAsia="Times New Roman" w:hAnsi="Arial" w:cs="Arial"/>
          <w:kern w:val="0"/>
          <w:sz w:val="22"/>
          <w:szCs w:val="22"/>
          <w:lang w:eastAsia="en-GB"/>
          <w14:ligatures w14:val="none"/>
        </w:rPr>
        <w:t xml:space="preserve">Core Policy 57(vii) requires that development be compatible with the adjoining uses and protect the residential amenity of existing and future users of the site and its surroundings, including in respect of natural lighting, privacy, outlook and pollution sources. This requirement is carried forward in draft Policy 98. </w:t>
      </w:r>
    </w:p>
    <w:p w14:paraId="1774DABE" w14:textId="77777777" w:rsidR="008C318B" w:rsidRPr="00BC6437" w:rsidRDefault="008C318B" w:rsidP="008C318B">
      <w:pPr>
        <w:spacing w:after="0" w:line="276" w:lineRule="auto"/>
        <w:jc w:val="both"/>
        <w:rPr>
          <w:rFonts w:ascii="Arial" w:eastAsia="Times New Roman" w:hAnsi="Arial" w:cs="Arial"/>
          <w:kern w:val="0"/>
          <w:sz w:val="22"/>
          <w:szCs w:val="22"/>
          <w:lang w:eastAsia="en-GB"/>
          <w14:ligatures w14:val="none"/>
        </w:rPr>
      </w:pPr>
    </w:p>
    <w:p w14:paraId="78F85E59" w14:textId="77777777" w:rsidR="008C318B" w:rsidRPr="00D26D4D" w:rsidRDefault="008C318B" w:rsidP="008C318B">
      <w:pPr>
        <w:spacing w:after="0" w:line="276" w:lineRule="auto"/>
        <w:jc w:val="both"/>
        <w:rPr>
          <w:rFonts w:ascii="Arial" w:eastAsia="Times New Roman" w:hAnsi="Arial" w:cs="Arial"/>
          <w:kern w:val="0"/>
          <w:sz w:val="22"/>
          <w:szCs w:val="22"/>
          <w:lang w:eastAsia="en-GB"/>
          <w14:ligatures w14:val="none"/>
        </w:rPr>
      </w:pPr>
      <w:r w:rsidRPr="00BC6437">
        <w:rPr>
          <w:rFonts w:ascii="Arial" w:eastAsia="Times New Roman" w:hAnsi="Arial" w:cs="Arial"/>
          <w:kern w:val="0"/>
          <w:sz w:val="22"/>
          <w:szCs w:val="22"/>
          <w:lang w:eastAsia="en-GB"/>
          <w14:ligatures w14:val="none"/>
        </w:rPr>
        <w:t xml:space="preserve">The Design Guide states that minimum garden areas for all houses should be equivalent to the footprint of </w:t>
      </w:r>
      <w:r w:rsidRPr="00D26D4D">
        <w:rPr>
          <w:rFonts w:ascii="Arial" w:eastAsia="Times New Roman" w:hAnsi="Arial" w:cs="Arial"/>
          <w:kern w:val="0"/>
          <w:sz w:val="22"/>
          <w:szCs w:val="22"/>
          <w:lang w:eastAsia="en-GB"/>
          <w14:ligatures w14:val="none"/>
        </w:rPr>
        <w:t>the house and that a back-to-back separation distance of minimum 20m should be respected. The guide also refers to the BRE Site layout planning for daylight and sunlight as an appropriate source for assessing proposals. Appendix D of the guide states that extensions should not be unduly overbearing or obtrusive to neighbouring properties.</w:t>
      </w:r>
    </w:p>
    <w:p w14:paraId="6B48666E" w14:textId="77777777" w:rsidR="008C318B" w:rsidRPr="00D26D4D" w:rsidRDefault="008C318B" w:rsidP="008C318B">
      <w:pPr>
        <w:spacing w:after="0" w:line="276" w:lineRule="auto"/>
        <w:jc w:val="both"/>
        <w:rPr>
          <w:rFonts w:ascii="Arial" w:eastAsia="Times New Roman" w:hAnsi="Arial" w:cs="Arial"/>
          <w:kern w:val="0"/>
          <w:sz w:val="22"/>
          <w:szCs w:val="22"/>
          <w:lang w:eastAsia="en-GB"/>
          <w14:ligatures w14:val="none"/>
        </w:rPr>
      </w:pPr>
    </w:p>
    <w:p w14:paraId="6E7F12A3" w14:textId="5FF69277" w:rsidR="008C318B" w:rsidRDefault="00BC6437" w:rsidP="008C318B">
      <w:pPr>
        <w:spacing w:after="0" w:line="276" w:lineRule="auto"/>
        <w:jc w:val="both"/>
        <w:rPr>
          <w:rFonts w:ascii="Arial" w:hAnsi="Arial" w:cs="Arial"/>
          <w:sz w:val="22"/>
          <w:szCs w:val="22"/>
        </w:rPr>
      </w:pPr>
      <w:r w:rsidRPr="00D26D4D">
        <w:rPr>
          <w:rFonts w:ascii="Arial" w:eastAsia="Times New Roman" w:hAnsi="Arial" w:cs="Arial"/>
          <w:kern w:val="0"/>
          <w:sz w:val="22"/>
          <w:szCs w:val="22"/>
          <w:lang w:eastAsia="en-GB"/>
          <w14:ligatures w14:val="none"/>
        </w:rPr>
        <w:t xml:space="preserve">As the proposal maintains the </w:t>
      </w:r>
      <w:r w:rsidR="00374B7A" w:rsidRPr="00D26D4D">
        <w:rPr>
          <w:rFonts w:ascii="Arial" w:eastAsia="Times New Roman" w:hAnsi="Arial" w:cs="Arial"/>
          <w:kern w:val="0"/>
          <w:sz w:val="22"/>
          <w:szCs w:val="22"/>
          <w:lang w:eastAsia="en-GB"/>
          <w14:ligatures w14:val="none"/>
        </w:rPr>
        <w:t xml:space="preserve">layout and scale of the existing conservatory, it would not generate any </w:t>
      </w:r>
      <w:r w:rsidR="008C318B" w:rsidRPr="00D26D4D">
        <w:rPr>
          <w:rFonts w:ascii="Arial" w:eastAsia="Times New Roman" w:hAnsi="Arial" w:cs="Arial"/>
          <w:kern w:val="0"/>
          <w:sz w:val="22"/>
          <w:szCs w:val="22"/>
          <w:lang w:eastAsia="en-GB"/>
          <w14:ligatures w14:val="none"/>
        </w:rPr>
        <w:t xml:space="preserve">significant additional impact on the residential amenity of any other user of </w:t>
      </w:r>
      <w:r w:rsidR="00D26D4D">
        <w:rPr>
          <w:rFonts w:ascii="Arial" w:eastAsia="Times New Roman" w:hAnsi="Arial" w:cs="Arial"/>
          <w:kern w:val="0"/>
          <w:sz w:val="22"/>
          <w:szCs w:val="22"/>
          <w:lang w:eastAsia="en-GB"/>
          <w14:ligatures w14:val="none"/>
        </w:rPr>
        <w:t>any neighbouring property</w:t>
      </w:r>
      <w:r w:rsidR="008C318B" w:rsidRPr="00D26D4D">
        <w:rPr>
          <w:rFonts w:ascii="Arial" w:eastAsia="Times New Roman" w:hAnsi="Arial" w:cs="Arial"/>
          <w:kern w:val="0"/>
          <w:sz w:val="22"/>
          <w:szCs w:val="22"/>
          <w:lang w:eastAsia="en-GB"/>
          <w14:ligatures w14:val="none"/>
        </w:rPr>
        <w:t xml:space="preserve">. The proposal therefore </w:t>
      </w:r>
      <w:r w:rsidR="008C318B" w:rsidRPr="00D26D4D">
        <w:rPr>
          <w:rFonts w:ascii="Arial" w:hAnsi="Arial" w:cs="Arial"/>
          <w:sz w:val="22"/>
          <w:szCs w:val="22"/>
        </w:rPr>
        <w:t>achieves an acceptable standard of residential amenity in accordance with Core Policy 57(vii) and the Design Guide.</w:t>
      </w: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895187" w:rsidRDefault="00F7609E" w:rsidP="009C1702">
      <w:pPr>
        <w:spacing w:after="0" w:line="276" w:lineRule="auto"/>
        <w:jc w:val="both"/>
        <w:rPr>
          <w:rFonts w:ascii="Arial" w:eastAsia="Times New Roman" w:hAnsi="Arial" w:cs="Arial"/>
          <w:b/>
          <w:bCs/>
          <w:kern w:val="0"/>
          <w:sz w:val="22"/>
          <w:szCs w:val="22"/>
          <w:lang w:eastAsia="en-GB"/>
          <w14:ligatures w14:val="none"/>
        </w:rPr>
      </w:pPr>
      <w:r w:rsidRPr="00895187">
        <w:rPr>
          <w:rFonts w:ascii="Arial" w:eastAsia="Times New Roman" w:hAnsi="Arial" w:cs="Arial"/>
          <w:b/>
          <w:bCs/>
          <w:kern w:val="0"/>
          <w:sz w:val="22"/>
          <w:szCs w:val="22"/>
          <w:lang w:eastAsia="en-GB"/>
          <w14:ligatures w14:val="none"/>
        </w:rPr>
        <w:t>CONCLUSION</w:t>
      </w:r>
    </w:p>
    <w:p w14:paraId="5663C9CC" w14:textId="77777777" w:rsidR="00997B32" w:rsidRPr="00895187"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AA29748" w14:textId="008E3B96" w:rsidR="00E4277F" w:rsidRPr="00895187" w:rsidRDefault="00E4277F" w:rsidP="00E4277F">
      <w:pPr>
        <w:spacing w:after="0" w:line="276" w:lineRule="auto"/>
        <w:jc w:val="both"/>
        <w:rPr>
          <w:rFonts w:ascii="Arial" w:eastAsia="Times New Roman" w:hAnsi="Arial" w:cs="Arial"/>
          <w:color w:val="000000" w:themeColor="text1"/>
          <w:kern w:val="0"/>
          <w:sz w:val="22"/>
          <w:szCs w:val="22"/>
          <w:lang w:eastAsia="en-GB"/>
          <w14:ligatures w14:val="none"/>
        </w:rPr>
      </w:pPr>
      <w:r w:rsidRPr="00895187">
        <w:rPr>
          <w:rFonts w:ascii="Arial" w:eastAsia="Times New Roman" w:hAnsi="Arial" w:cs="Arial"/>
          <w:color w:val="000000" w:themeColor="text1"/>
          <w:kern w:val="0"/>
          <w:sz w:val="22"/>
          <w:szCs w:val="22"/>
          <w:lang w:eastAsia="en-GB"/>
          <w14:ligatures w14:val="none"/>
        </w:rPr>
        <w:t xml:space="preserve">Having regard to its appropriate siting, scale and sympathetic </w:t>
      </w:r>
      <w:r w:rsidR="00AC6481" w:rsidRPr="00895187">
        <w:rPr>
          <w:rFonts w:ascii="Arial" w:eastAsia="Times New Roman" w:hAnsi="Arial" w:cs="Arial"/>
          <w:color w:val="000000" w:themeColor="text1"/>
          <w:kern w:val="0"/>
          <w:sz w:val="22"/>
          <w:szCs w:val="22"/>
          <w:lang w:eastAsia="en-GB"/>
          <w14:ligatures w14:val="none"/>
        </w:rPr>
        <w:t>appearance</w:t>
      </w:r>
      <w:r w:rsidRPr="00895187">
        <w:rPr>
          <w:rFonts w:ascii="Arial" w:eastAsia="Times New Roman" w:hAnsi="Arial" w:cs="Arial"/>
          <w:color w:val="000000" w:themeColor="text1"/>
          <w:kern w:val="0"/>
          <w:sz w:val="22"/>
          <w:szCs w:val="22"/>
          <w:lang w:eastAsia="en-GB"/>
          <w14:ligatures w14:val="none"/>
        </w:rPr>
        <w:t xml:space="preserve">, the proposal </w:t>
      </w:r>
      <w:proofErr w:type="gramStart"/>
      <w:r w:rsidRPr="00895187">
        <w:rPr>
          <w:rFonts w:ascii="Arial" w:eastAsia="Times New Roman" w:hAnsi="Arial" w:cs="Arial"/>
          <w:color w:val="000000" w:themeColor="text1"/>
          <w:kern w:val="0"/>
          <w:sz w:val="22"/>
          <w:szCs w:val="22"/>
          <w:lang w:eastAsia="en-GB"/>
          <w14:ligatures w14:val="none"/>
        </w:rPr>
        <w:t>is considered to be</w:t>
      </w:r>
      <w:proofErr w:type="gramEnd"/>
      <w:r w:rsidRPr="00895187">
        <w:rPr>
          <w:rFonts w:ascii="Arial" w:eastAsia="Times New Roman" w:hAnsi="Arial" w:cs="Arial"/>
          <w:color w:val="000000" w:themeColor="text1"/>
          <w:kern w:val="0"/>
          <w:sz w:val="22"/>
          <w:szCs w:val="22"/>
          <w:lang w:eastAsia="en-GB"/>
          <w14:ligatures w14:val="none"/>
        </w:rPr>
        <w:t xml:space="preserve"> acceptable in respect of design, </w:t>
      </w:r>
      <w:r w:rsidR="00AC6481" w:rsidRPr="00895187">
        <w:rPr>
          <w:rFonts w:ascii="Arial" w:eastAsia="Times New Roman" w:hAnsi="Arial" w:cs="Arial"/>
          <w:color w:val="000000" w:themeColor="text1"/>
          <w:kern w:val="0"/>
          <w:sz w:val="22"/>
          <w:szCs w:val="22"/>
          <w:lang w:eastAsia="en-GB"/>
          <w14:ligatures w14:val="none"/>
        </w:rPr>
        <w:t>neighbouring</w:t>
      </w:r>
      <w:r w:rsidRPr="00895187">
        <w:rPr>
          <w:rFonts w:ascii="Arial" w:eastAsia="Times New Roman" w:hAnsi="Arial" w:cs="Arial"/>
          <w:color w:val="000000" w:themeColor="text1"/>
          <w:kern w:val="0"/>
          <w:sz w:val="22"/>
          <w:szCs w:val="22"/>
          <w:lang w:eastAsia="en-GB"/>
          <w14:ligatures w14:val="none"/>
        </w:rPr>
        <w:t xml:space="preserve"> amenity</w:t>
      </w:r>
      <w:r w:rsidR="00AC6481" w:rsidRPr="00895187">
        <w:rPr>
          <w:rFonts w:ascii="Arial" w:eastAsia="Times New Roman" w:hAnsi="Arial" w:cs="Arial"/>
          <w:color w:val="000000" w:themeColor="text1"/>
          <w:kern w:val="0"/>
          <w:sz w:val="22"/>
          <w:szCs w:val="22"/>
          <w:lang w:eastAsia="en-GB"/>
          <w14:ligatures w14:val="none"/>
        </w:rPr>
        <w:t xml:space="preserve"> </w:t>
      </w:r>
      <w:r w:rsidRPr="00895187">
        <w:rPr>
          <w:rFonts w:ascii="Arial" w:eastAsia="Times New Roman" w:hAnsi="Arial" w:cs="Arial"/>
          <w:color w:val="000000" w:themeColor="text1"/>
          <w:kern w:val="0"/>
          <w:sz w:val="22"/>
          <w:szCs w:val="22"/>
          <w:lang w:eastAsia="en-GB"/>
          <w14:ligatures w14:val="none"/>
        </w:rPr>
        <w:t xml:space="preserve">and all other matters. It therefore complies with the </w:t>
      </w:r>
      <w:proofErr w:type="gramStart"/>
      <w:r w:rsidRPr="00895187">
        <w:rPr>
          <w:rFonts w:ascii="Arial" w:eastAsia="Times New Roman" w:hAnsi="Arial" w:cs="Arial"/>
          <w:color w:val="000000" w:themeColor="text1"/>
          <w:kern w:val="0"/>
          <w:sz w:val="22"/>
          <w:szCs w:val="22"/>
          <w:lang w:eastAsia="en-GB"/>
          <w14:ligatures w14:val="none"/>
        </w:rPr>
        <w:t>aforementioned sections</w:t>
      </w:r>
      <w:proofErr w:type="gramEnd"/>
      <w:r w:rsidRPr="00895187">
        <w:rPr>
          <w:rFonts w:ascii="Arial" w:eastAsia="Times New Roman" w:hAnsi="Arial" w:cs="Arial"/>
          <w:color w:val="000000" w:themeColor="text1"/>
          <w:kern w:val="0"/>
          <w:sz w:val="22"/>
          <w:szCs w:val="22"/>
          <w:lang w:eastAsia="en-GB"/>
          <w14:ligatures w14:val="none"/>
        </w:rPr>
        <w:t xml:space="preserve"> and policies of the Wiltshire Core Strategy, emerging Wiltshire Local Plan, </w:t>
      </w:r>
      <w:r w:rsidR="00895187" w:rsidRPr="00895187">
        <w:rPr>
          <w:rFonts w:ascii="Arial" w:eastAsia="Times New Roman" w:hAnsi="Arial" w:cs="Arial"/>
          <w:color w:val="000000" w:themeColor="text1"/>
          <w:kern w:val="0"/>
          <w:sz w:val="22"/>
          <w:szCs w:val="22"/>
          <w:lang w:eastAsia="en-GB"/>
          <w14:ligatures w14:val="none"/>
        </w:rPr>
        <w:t>Warminster</w:t>
      </w:r>
      <w:r w:rsidRPr="00895187">
        <w:rPr>
          <w:rFonts w:ascii="Arial" w:eastAsia="Times New Roman" w:hAnsi="Arial" w:cs="Arial"/>
          <w:color w:val="000000" w:themeColor="text1"/>
          <w:kern w:val="0"/>
          <w:sz w:val="22"/>
          <w:szCs w:val="22"/>
          <w:lang w:eastAsia="en-GB"/>
          <w14:ligatures w14:val="none"/>
        </w:rPr>
        <w:t xml:space="preserve"> </w:t>
      </w:r>
      <w:r w:rsidRPr="00895187">
        <w:rPr>
          <w:rFonts w:ascii="Arial" w:hAnsi="Arial" w:cs="Arial"/>
          <w:sz w:val="22"/>
          <w:szCs w:val="22"/>
        </w:rPr>
        <w:t>Neighbourhood Plan,</w:t>
      </w:r>
      <w:r w:rsidRPr="00895187">
        <w:rPr>
          <w:rFonts w:ascii="Arial" w:eastAsia="Times New Roman" w:hAnsi="Arial" w:cs="Arial"/>
          <w:color w:val="000000" w:themeColor="text1"/>
          <w:kern w:val="0"/>
          <w:sz w:val="22"/>
          <w:szCs w:val="22"/>
          <w:lang w:eastAsia="en-GB"/>
          <w14:ligatures w14:val="none"/>
        </w:rPr>
        <w:t xml:space="preserve"> NPPF and the Wiltshire Design Guide. As such, the application is recommended for approval, subject to the conditions set out below.</w:t>
      </w:r>
    </w:p>
    <w:p w14:paraId="0A92763B" w14:textId="77777777" w:rsidR="00E4277F" w:rsidRPr="00895187" w:rsidRDefault="00E4277F" w:rsidP="00E4277F">
      <w:pPr>
        <w:spacing w:after="0" w:line="276" w:lineRule="auto"/>
        <w:jc w:val="both"/>
        <w:rPr>
          <w:rFonts w:ascii="Arial" w:eastAsia="Times New Roman" w:hAnsi="Arial" w:cs="Arial"/>
          <w:color w:val="FF0000"/>
          <w:kern w:val="0"/>
          <w:sz w:val="22"/>
          <w:szCs w:val="22"/>
          <w:lang w:eastAsia="en-GB"/>
          <w14:ligatures w14:val="none"/>
        </w:rPr>
      </w:pPr>
    </w:p>
    <w:p w14:paraId="2FCE7D71" w14:textId="77777777" w:rsidR="00E4277F" w:rsidRPr="00895187" w:rsidRDefault="00E4277F" w:rsidP="00E4277F">
      <w:pPr>
        <w:spacing w:after="0" w:line="276" w:lineRule="auto"/>
        <w:jc w:val="both"/>
        <w:rPr>
          <w:rFonts w:ascii="Arial" w:eastAsia="Times New Roman" w:hAnsi="Arial" w:cs="Arial"/>
          <w:b/>
          <w:bCs/>
          <w:kern w:val="0"/>
          <w:sz w:val="22"/>
          <w:szCs w:val="22"/>
          <w:lang w:eastAsia="en-GB"/>
          <w14:ligatures w14:val="none"/>
        </w:rPr>
      </w:pPr>
      <w:r w:rsidRPr="00895187">
        <w:rPr>
          <w:rFonts w:ascii="Arial" w:eastAsia="Times New Roman" w:hAnsi="Arial" w:cs="Arial"/>
          <w:b/>
          <w:bCs/>
          <w:kern w:val="0"/>
          <w:sz w:val="22"/>
          <w:szCs w:val="22"/>
          <w:lang w:eastAsia="en-GB"/>
          <w14:ligatures w14:val="none"/>
        </w:rPr>
        <w:t>RECOMMENDATION:  That Planning Permission be GRANTED subject to the following conditions:</w:t>
      </w:r>
    </w:p>
    <w:p w14:paraId="1FAF20E2" w14:textId="77777777" w:rsidR="00E4277F" w:rsidRPr="00895187" w:rsidRDefault="00E4277F" w:rsidP="00E4277F">
      <w:pPr>
        <w:spacing w:after="0" w:line="276" w:lineRule="auto"/>
        <w:jc w:val="both"/>
        <w:rPr>
          <w:rFonts w:ascii="Arial" w:eastAsia="Times New Roman" w:hAnsi="Arial" w:cs="Arial"/>
          <w:b/>
          <w:bCs/>
          <w:kern w:val="0"/>
          <w:sz w:val="22"/>
          <w:szCs w:val="22"/>
          <w:lang w:eastAsia="en-GB"/>
          <w14:ligatures w14:val="none"/>
        </w:rPr>
      </w:pPr>
    </w:p>
    <w:p w14:paraId="1C8D46DC" w14:textId="77777777" w:rsidR="00E4277F" w:rsidRPr="00895187" w:rsidRDefault="00E4277F" w:rsidP="00E4277F">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72E427B5" w14:textId="77777777" w:rsidR="00E4277F" w:rsidRPr="00895187"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p>
    <w:p w14:paraId="35D43707" w14:textId="77777777" w:rsidR="00E4277F" w:rsidRPr="00895187"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294FCD27" w14:textId="77777777" w:rsidR="00E4277F" w:rsidRPr="00895187"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p>
    <w:p w14:paraId="757E2130" w14:textId="77777777" w:rsidR="00E4277F" w:rsidRPr="00AD3E3D" w:rsidRDefault="00E4277F" w:rsidP="00E4277F">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 xml:space="preserve">The development hereby permitted shall be carried out in accordance with the following approved plans and </w:t>
      </w:r>
      <w:r w:rsidRPr="00AD3E3D">
        <w:rPr>
          <w:rFonts w:ascii="Arial" w:eastAsia="Times New Roman" w:hAnsi="Arial" w:cs="Arial"/>
          <w:kern w:val="0"/>
          <w:sz w:val="22"/>
          <w:szCs w:val="22"/>
          <w:lang w:eastAsia="en-GB"/>
          <w14:ligatures w14:val="none"/>
        </w:rPr>
        <w:t>documents:</w:t>
      </w:r>
    </w:p>
    <w:p w14:paraId="02CC2E58" w14:textId="77777777" w:rsidR="00E4277F" w:rsidRPr="00AD3E3D"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p>
    <w:p w14:paraId="6E1A9BD7" w14:textId="55B69360" w:rsidR="00E4277F" w:rsidRPr="00AD3E3D" w:rsidRDefault="00E4277F" w:rsidP="00E4277F">
      <w:pPr>
        <w:pStyle w:val="ListParagraph"/>
        <w:numPr>
          <w:ilvl w:val="0"/>
          <w:numId w:val="19"/>
        </w:numPr>
        <w:spacing w:after="0" w:line="276" w:lineRule="auto"/>
        <w:jc w:val="both"/>
        <w:rPr>
          <w:rFonts w:ascii="Arial" w:eastAsia="Times New Roman" w:hAnsi="Arial" w:cs="Arial"/>
          <w:kern w:val="0"/>
          <w:sz w:val="22"/>
          <w:szCs w:val="22"/>
          <w:lang w:eastAsia="en-GB"/>
          <w14:ligatures w14:val="none"/>
        </w:rPr>
      </w:pPr>
      <w:r w:rsidRPr="00AD3E3D">
        <w:rPr>
          <w:rFonts w:ascii="Arial" w:eastAsia="Times New Roman" w:hAnsi="Arial" w:cs="Arial"/>
          <w:kern w:val="0"/>
          <w:sz w:val="22"/>
          <w:szCs w:val="22"/>
          <w:lang w:eastAsia="en-GB"/>
          <w14:ligatures w14:val="none"/>
        </w:rPr>
        <w:t xml:space="preserve">Location </w:t>
      </w:r>
      <w:r w:rsidR="00E146C5" w:rsidRPr="00AD3E3D">
        <w:rPr>
          <w:rFonts w:ascii="Arial" w:eastAsia="Times New Roman" w:hAnsi="Arial" w:cs="Arial"/>
          <w:kern w:val="0"/>
          <w:sz w:val="22"/>
          <w:szCs w:val="22"/>
          <w:lang w:eastAsia="en-GB"/>
          <w14:ligatures w14:val="none"/>
        </w:rPr>
        <w:t xml:space="preserve">and Block </w:t>
      </w:r>
      <w:r w:rsidRPr="00AD3E3D">
        <w:rPr>
          <w:rFonts w:ascii="Arial" w:eastAsia="Times New Roman" w:hAnsi="Arial" w:cs="Arial"/>
          <w:kern w:val="0"/>
          <w:sz w:val="22"/>
          <w:szCs w:val="22"/>
          <w:lang w:eastAsia="en-GB"/>
          <w14:ligatures w14:val="none"/>
        </w:rPr>
        <w:t xml:space="preserve">Plan, </w:t>
      </w:r>
      <w:r w:rsidR="00E146C5" w:rsidRPr="00AD3E3D">
        <w:rPr>
          <w:rFonts w:ascii="Arial" w:eastAsia="Times New Roman" w:hAnsi="Arial" w:cs="Arial"/>
          <w:kern w:val="0"/>
          <w:sz w:val="22"/>
          <w:szCs w:val="22"/>
          <w:lang w:eastAsia="en-GB"/>
          <w14:ligatures w14:val="none"/>
        </w:rPr>
        <w:t xml:space="preserve">ref. </w:t>
      </w:r>
      <w:r w:rsidR="0032188E" w:rsidRPr="00AD3E3D">
        <w:rPr>
          <w:rFonts w:ascii="Arial" w:eastAsia="Times New Roman" w:hAnsi="Arial" w:cs="Arial"/>
          <w:kern w:val="0"/>
          <w:sz w:val="22"/>
          <w:szCs w:val="22"/>
          <w:lang w:eastAsia="en-GB"/>
          <w14:ligatures w14:val="none"/>
        </w:rPr>
        <w:t>25006 000</w:t>
      </w:r>
    </w:p>
    <w:p w14:paraId="40A22146" w14:textId="77777777" w:rsidR="00354166" w:rsidRPr="00AD3E3D" w:rsidRDefault="00354166" w:rsidP="00354166">
      <w:pPr>
        <w:pStyle w:val="ListParagraph"/>
        <w:numPr>
          <w:ilvl w:val="0"/>
          <w:numId w:val="19"/>
        </w:numPr>
        <w:spacing w:after="0" w:line="276" w:lineRule="auto"/>
        <w:jc w:val="both"/>
        <w:rPr>
          <w:rFonts w:ascii="Arial" w:eastAsia="Times New Roman" w:hAnsi="Arial" w:cs="Arial"/>
          <w:kern w:val="0"/>
          <w:sz w:val="22"/>
          <w:szCs w:val="22"/>
          <w:lang w:eastAsia="en-GB"/>
          <w14:ligatures w14:val="none"/>
        </w:rPr>
      </w:pPr>
      <w:r w:rsidRPr="00AD3E3D">
        <w:rPr>
          <w:rFonts w:ascii="Arial" w:eastAsia="Times New Roman" w:hAnsi="Arial" w:cs="Arial"/>
          <w:kern w:val="0"/>
          <w:sz w:val="22"/>
          <w:szCs w:val="22"/>
          <w:lang w:eastAsia="en-GB"/>
          <w14:ligatures w14:val="none"/>
        </w:rPr>
        <w:t>Proposed Site Plan, ref. 25006 001</w:t>
      </w:r>
    </w:p>
    <w:p w14:paraId="78F6DA50" w14:textId="19B32309" w:rsidR="00354166" w:rsidRPr="00AD3E3D" w:rsidRDefault="00354166" w:rsidP="00354166">
      <w:pPr>
        <w:pStyle w:val="ListParagraph"/>
        <w:numPr>
          <w:ilvl w:val="0"/>
          <w:numId w:val="19"/>
        </w:numPr>
        <w:spacing w:after="0" w:line="276" w:lineRule="auto"/>
        <w:jc w:val="both"/>
        <w:rPr>
          <w:rFonts w:ascii="Arial" w:eastAsia="Times New Roman" w:hAnsi="Arial" w:cs="Arial"/>
          <w:kern w:val="0"/>
          <w:sz w:val="22"/>
          <w:szCs w:val="22"/>
          <w:lang w:eastAsia="en-GB"/>
          <w14:ligatures w14:val="none"/>
        </w:rPr>
      </w:pPr>
      <w:r w:rsidRPr="00AD3E3D">
        <w:rPr>
          <w:rFonts w:ascii="Arial" w:eastAsia="Times New Roman" w:hAnsi="Arial" w:cs="Arial"/>
          <w:kern w:val="0"/>
          <w:sz w:val="22"/>
          <w:szCs w:val="22"/>
          <w:lang w:eastAsia="en-GB"/>
          <w14:ligatures w14:val="none"/>
        </w:rPr>
        <w:t>Proposed Floor Plans, ref. 25006 101</w:t>
      </w:r>
    </w:p>
    <w:p w14:paraId="0905E3A9" w14:textId="06A83AF0" w:rsidR="00354166" w:rsidRPr="00AD3E3D" w:rsidRDefault="00354166" w:rsidP="00354166">
      <w:pPr>
        <w:pStyle w:val="ListParagraph"/>
        <w:numPr>
          <w:ilvl w:val="0"/>
          <w:numId w:val="19"/>
        </w:numPr>
        <w:spacing w:after="0" w:line="276" w:lineRule="auto"/>
        <w:jc w:val="both"/>
        <w:rPr>
          <w:rFonts w:ascii="Arial" w:eastAsia="Times New Roman" w:hAnsi="Arial" w:cs="Arial"/>
          <w:kern w:val="0"/>
          <w:sz w:val="22"/>
          <w:szCs w:val="22"/>
          <w:lang w:eastAsia="en-GB"/>
          <w14:ligatures w14:val="none"/>
        </w:rPr>
      </w:pPr>
      <w:r w:rsidRPr="00AD3E3D">
        <w:rPr>
          <w:rFonts w:ascii="Arial" w:eastAsia="Times New Roman" w:hAnsi="Arial" w:cs="Arial"/>
          <w:kern w:val="0"/>
          <w:sz w:val="22"/>
          <w:szCs w:val="22"/>
          <w:lang w:eastAsia="en-GB"/>
          <w14:ligatures w14:val="none"/>
        </w:rPr>
        <w:t>Proposed Elevations, ref. 25006 201</w:t>
      </w:r>
    </w:p>
    <w:p w14:paraId="6ADB84F5" w14:textId="77777777" w:rsidR="00E4277F" w:rsidRPr="00895187"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p>
    <w:p w14:paraId="0288A97D" w14:textId="77777777" w:rsidR="00E4277F" w:rsidRPr="00895187"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REASON: For the avoidance of doubt and in the interests of proper planning.</w:t>
      </w:r>
    </w:p>
    <w:p w14:paraId="4FDAC4E6" w14:textId="77777777" w:rsidR="00E4277F" w:rsidRPr="00895187"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p>
    <w:p w14:paraId="16C09702" w14:textId="77777777" w:rsidR="00E4277F" w:rsidRPr="00895187" w:rsidRDefault="00E4277F" w:rsidP="00E4277F">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shall match in material, colour and texture those used in the existing building unless otherwise stated on the approved plans. </w:t>
      </w:r>
    </w:p>
    <w:p w14:paraId="756DDDF9" w14:textId="77777777" w:rsidR="00E4277F" w:rsidRPr="00895187"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p>
    <w:p w14:paraId="12E986C8" w14:textId="77777777" w:rsidR="00E4277F" w:rsidRPr="00B72E19" w:rsidRDefault="00E4277F" w:rsidP="00E4277F">
      <w:pPr>
        <w:pStyle w:val="ListParagraph"/>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REASON: In the interests of visual amenity and the character and appearance of the area.</w:t>
      </w:r>
    </w:p>
    <w:p w14:paraId="0635F7D3" w14:textId="5579C4A4" w:rsidR="00F9178A" w:rsidRPr="00F9178A" w:rsidRDefault="00F9178A" w:rsidP="00E4277F">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27F4"/>
    <w:multiLevelType w:val="hybridMultilevel"/>
    <w:tmpl w:val="099031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D1FA3"/>
    <w:multiLevelType w:val="hybridMultilevel"/>
    <w:tmpl w:val="9BCA13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864A9E"/>
    <w:multiLevelType w:val="hybridMultilevel"/>
    <w:tmpl w:val="ABDEFE2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11"/>
  </w:num>
  <w:num w:numId="2" w16cid:durableId="892273552">
    <w:abstractNumId w:val="4"/>
  </w:num>
  <w:num w:numId="3" w16cid:durableId="1181357059">
    <w:abstractNumId w:val="16"/>
  </w:num>
  <w:num w:numId="4" w16cid:durableId="1650787556">
    <w:abstractNumId w:val="12"/>
  </w:num>
  <w:num w:numId="5" w16cid:durableId="466094426">
    <w:abstractNumId w:val="17"/>
  </w:num>
  <w:num w:numId="6" w16cid:durableId="1542328013">
    <w:abstractNumId w:val="18"/>
  </w:num>
  <w:num w:numId="7" w16cid:durableId="1004281297">
    <w:abstractNumId w:val="6"/>
  </w:num>
  <w:num w:numId="8" w16cid:durableId="1878279251">
    <w:abstractNumId w:val="1"/>
  </w:num>
  <w:num w:numId="9" w16cid:durableId="1286542474">
    <w:abstractNumId w:val="10"/>
  </w:num>
  <w:num w:numId="10" w16cid:durableId="2027555515">
    <w:abstractNumId w:val="15"/>
  </w:num>
  <w:num w:numId="11" w16cid:durableId="334724159">
    <w:abstractNumId w:val="14"/>
  </w:num>
  <w:num w:numId="12" w16cid:durableId="1840384416">
    <w:abstractNumId w:val="13"/>
  </w:num>
  <w:num w:numId="13" w16cid:durableId="720910517">
    <w:abstractNumId w:val="7"/>
  </w:num>
  <w:num w:numId="14" w16cid:durableId="1121413073">
    <w:abstractNumId w:val="5"/>
  </w:num>
  <w:num w:numId="15" w16cid:durableId="1753501654">
    <w:abstractNumId w:val="0"/>
  </w:num>
  <w:num w:numId="16" w16cid:durableId="403648328">
    <w:abstractNumId w:val="2"/>
  </w:num>
  <w:num w:numId="17" w16cid:durableId="733703652">
    <w:abstractNumId w:val="3"/>
  </w:num>
  <w:num w:numId="18" w16cid:durableId="1657951690">
    <w:abstractNumId w:val="8"/>
  </w:num>
  <w:num w:numId="19" w16cid:durableId="14142813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62B1"/>
    <w:rsid w:val="000221CB"/>
    <w:rsid w:val="00032CCF"/>
    <w:rsid w:val="00033847"/>
    <w:rsid w:val="00036B7E"/>
    <w:rsid w:val="00043B9C"/>
    <w:rsid w:val="00047B21"/>
    <w:rsid w:val="00056604"/>
    <w:rsid w:val="000610AC"/>
    <w:rsid w:val="00063A02"/>
    <w:rsid w:val="00063D1C"/>
    <w:rsid w:val="0006701C"/>
    <w:rsid w:val="00071E19"/>
    <w:rsid w:val="0007377C"/>
    <w:rsid w:val="0007735A"/>
    <w:rsid w:val="000815DE"/>
    <w:rsid w:val="0008454F"/>
    <w:rsid w:val="00085C56"/>
    <w:rsid w:val="0008778B"/>
    <w:rsid w:val="00091944"/>
    <w:rsid w:val="00093398"/>
    <w:rsid w:val="00097010"/>
    <w:rsid w:val="000B4864"/>
    <w:rsid w:val="000B66D7"/>
    <w:rsid w:val="000B6B01"/>
    <w:rsid w:val="000C7F98"/>
    <w:rsid w:val="000D0858"/>
    <w:rsid w:val="000D5836"/>
    <w:rsid w:val="000E063D"/>
    <w:rsid w:val="000E18EB"/>
    <w:rsid w:val="000E2D13"/>
    <w:rsid w:val="000E6021"/>
    <w:rsid w:val="000E7462"/>
    <w:rsid w:val="000F3916"/>
    <w:rsid w:val="001044B1"/>
    <w:rsid w:val="00111D21"/>
    <w:rsid w:val="00114135"/>
    <w:rsid w:val="00125AE0"/>
    <w:rsid w:val="00134D23"/>
    <w:rsid w:val="00141929"/>
    <w:rsid w:val="0014198B"/>
    <w:rsid w:val="00152901"/>
    <w:rsid w:val="0016162B"/>
    <w:rsid w:val="00162405"/>
    <w:rsid w:val="00172C46"/>
    <w:rsid w:val="0018298F"/>
    <w:rsid w:val="001867E0"/>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84BD1"/>
    <w:rsid w:val="00296162"/>
    <w:rsid w:val="002B3C19"/>
    <w:rsid w:val="002B67AF"/>
    <w:rsid w:val="002B7220"/>
    <w:rsid w:val="002C39F8"/>
    <w:rsid w:val="002C5B77"/>
    <w:rsid w:val="002C64FD"/>
    <w:rsid w:val="002C7D54"/>
    <w:rsid w:val="002D20C0"/>
    <w:rsid w:val="002D764D"/>
    <w:rsid w:val="002E6C51"/>
    <w:rsid w:val="002F3C84"/>
    <w:rsid w:val="0030007E"/>
    <w:rsid w:val="00302D05"/>
    <w:rsid w:val="003030A4"/>
    <w:rsid w:val="00307390"/>
    <w:rsid w:val="00312C7F"/>
    <w:rsid w:val="00315AE0"/>
    <w:rsid w:val="0032188E"/>
    <w:rsid w:val="003309CF"/>
    <w:rsid w:val="003310C6"/>
    <w:rsid w:val="00331E7A"/>
    <w:rsid w:val="00332D09"/>
    <w:rsid w:val="003342BE"/>
    <w:rsid w:val="00335B14"/>
    <w:rsid w:val="003415BB"/>
    <w:rsid w:val="00351CE5"/>
    <w:rsid w:val="00354166"/>
    <w:rsid w:val="00362D8F"/>
    <w:rsid w:val="00364013"/>
    <w:rsid w:val="00371103"/>
    <w:rsid w:val="00371C0F"/>
    <w:rsid w:val="003727C5"/>
    <w:rsid w:val="00372E76"/>
    <w:rsid w:val="0037425B"/>
    <w:rsid w:val="00374B7A"/>
    <w:rsid w:val="003774FF"/>
    <w:rsid w:val="0038668B"/>
    <w:rsid w:val="00393433"/>
    <w:rsid w:val="00394AB3"/>
    <w:rsid w:val="003A202C"/>
    <w:rsid w:val="003A2DD3"/>
    <w:rsid w:val="003A7995"/>
    <w:rsid w:val="003B01C1"/>
    <w:rsid w:val="003B792C"/>
    <w:rsid w:val="003C7574"/>
    <w:rsid w:val="003E059B"/>
    <w:rsid w:val="003E08E2"/>
    <w:rsid w:val="003E1E01"/>
    <w:rsid w:val="003E2BA9"/>
    <w:rsid w:val="003E4874"/>
    <w:rsid w:val="003F076A"/>
    <w:rsid w:val="003F5922"/>
    <w:rsid w:val="00400FB2"/>
    <w:rsid w:val="00411FF7"/>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5317"/>
    <w:rsid w:val="004A6DB3"/>
    <w:rsid w:val="004B0B23"/>
    <w:rsid w:val="004B3C0C"/>
    <w:rsid w:val="004D3857"/>
    <w:rsid w:val="004D3BA9"/>
    <w:rsid w:val="004E7970"/>
    <w:rsid w:val="004F635C"/>
    <w:rsid w:val="004F65E7"/>
    <w:rsid w:val="004F6E9B"/>
    <w:rsid w:val="00515980"/>
    <w:rsid w:val="0051645C"/>
    <w:rsid w:val="0052069C"/>
    <w:rsid w:val="00520E30"/>
    <w:rsid w:val="0054068B"/>
    <w:rsid w:val="00540D13"/>
    <w:rsid w:val="00550749"/>
    <w:rsid w:val="00561A9C"/>
    <w:rsid w:val="00582EB0"/>
    <w:rsid w:val="0059524B"/>
    <w:rsid w:val="00597BBB"/>
    <w:rsid w:val="005A2832"/>
    <w:rsid w:val="005A2CD7"/>
    <w:rsid w:val="005A2D67"/>
    <w:rsid w:val="005A5492"/>
    <w:rsid w:val="005B0FD5"/>
    <w:rsid w:val="005C1D3F"/>
    <w:rsid w:val="005D04A7"/>
    <w:rsid w:val="005D13DC"/>
    <w:rsid w:val="005D24B8"/>
    <w:rsid w:val="005D30AB"/>
    <w:rsid w:val="005E0776"/>
    <w:rsid w:val="005E0F78"/>
    <w:rsid w:val="005E2BAD"/>
    <w:rsid w:val="00602A97"/>
    <w:rsid w:val="00610CF5"/>
    <w:rsid w:val="00615302"/>
    <w:rsid w:val="006164A3"/>
    <w:rsid w:val="00616DC2"/>
    <w:rsid w:val="0062234B"/>
    <w:rsid w:val="006242FB"/>
    <w:rsid w:val="00631355"/>
    <w:rsid w:val="00631B2E"/>
    <w:rsid w:val="0063206F"/>
    <w:rsid w:val="006407C9"/>
    <w:rsid w:val="00640FEC"/>
    <w:rsid w:val="006410B2"/>
    <w:rsid w:val="00643C57"/>
    <w:rsid w:val="00647E0D"/>
    <w:rsid w:val="00653CA6"/>
    <w:rsid w:val="00661AAF"/>
    <w:rsid w:val="00662C0A"/>
    <w:rsid w:val="00663D3A"/>
    <w:rsid w:val="00664B60"/>
    <w:rsid w:val="006656F8"/>
    <w:rsid w:val="0066737B"/>
    <w:rsid w:val="006705B5"/>
    <w:rsid w:val="00673B87"/>
    <w:rsid w:val="00680DA9"/>
    <w:rsid w:val="00683C17"/>
    <w:rsid w:val="00696570"/>
    <w:rsid w:val="0069763C"/>
    <w:rsid w:val="006A15F9"/>
    <w:rsid w:val="006A6EB8"/>
    <w:rsid w:val="006A735A"/>
    <w:rsid w:val="006B1193"/>
    <w:rsid w:val="006B14A7"/>
    <w:rsid w:val="006B5205"/>
    <w:rsid w:val="006B6C79"/>
    <w:rsid w:val="006C2EF8"/>
    <w:rsid w:val="006C5A72"/>
    <w:rsid w:val="006D1073"/>
    <w:rsid w:val="006D4A80"/>
    <w:rsid w:val="006E139C"/>
    <w:rsid w:val="00705D3C"/>
    <w:rsid w:val="00711058"/>
    <w:rsid w:val="00714FE5"/>
    <w:rsid w:val="00715057"/>
    <w:rsid w:val="007235F5"/>
    <w:rsid w:val="007330C9"/>
    <w:rsid w:val="00741853"/>
    <w:rsid w:val="00742C35"/>
    <w:rsid w:val="00744AC4"/>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0FA8"/>
    <w:rsid w:val="0083213E"/>
    <w:rsid w:val="008376A8"/>
    <w:rsid w:val="0084670A"/>
    <w:rsid w:val="00852CAC"/>
    <w:rsid w:val="00855117"/>
    <w:rsid w:val="0085527B"/>
    <w:rsid w:val="00862AEC"/>
    <w:rsid w:val="0086379F"/>
    <w:rsid w:val="00867EFD"/>
    <w:rsid w:val="0087005A"/>
    <w:rsid w:val="0087744B"/>
    <w:rsid w:val="008822ED"/>
    <w:rsid w:val="00884A97"/>
    <w:rsid w:val="0089004F"/>
    <w:rsid w:val="00892438"/>
    <w:rsid w:val="00895187"/>
    <w:rsid w:val="008A0F17"/>
    <w:rsid w:val="008A1574"/>
    <w:rsid w:val="008A3152"/>
    <w:rsid w:val="008A4252"/>
    <w:rsid w:val="008A4A27"/>
    <w:rsid w:val="008B30BE"/>
    <w:rsid w:val="008B578F"/>
    <w:rsid w:val="008B5B16"/>
    <w:rsid w:val="008C2176"/>
    <w:rsid w:val="008C2C2F"/>
    <w:rsid w:val="008C318B"/>
    <w:rsid w:val="008C3D5B"/>
    <w:rsid w:val="008C67C6"/>
    <w:rsid w:val="008C704F"/>
    <w:rsid w:val="008D293B"/>
    <w:rsid w:val="008D694B"/>
    <w:rsid w:val="008D7802"/>
    <w:rsid w:val="008E3EA2"/>
    <w:rsid w:val="008E684D"/>
    <w:rsid w:val="008E6B90"/>
    <w:rsid w:val="008F0D3D"/>
    <w:rsid w:val="008F1CF8"/>
    <w:rsid w:val="008F6030"/>
    <w:rsid w:val="00921A38"/>
    <w:rsid w:val="0092325F"/>
    <w:rsid w:val="00924221"/>
    <w:rsid w:val="0092586B"/>
    <w:rsid w:val="00932A4E"/>
    <w:rsid w:val="009350D4"/>
    <w:rsid w:val="00946709"/>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35EF"/>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3B"/>
    <w:rsid w:val="00A55952"/>
    <w:rsid w:val="00A6662C"/>
    <w:rsid w:val="00A71295"/>
    <w:rsid w:val="00A772D3"/>
    <w:rsid w:val="00A81CF7"/>
    <w:rsid w:val="00A85226"/>
    <w:rsid w:val="00A92E31"/>
    <w:rsid w:val="00AA5436"/>
    <w:rsid w:val="00AB52C2"/>
    <w:rsid w:val="00AC01A4"/>
    <w:rsid w:val="00AC6481"/>
    <w:rsid w:val="00AD2BC0"/>
    <w:rsid w:val="00AD39FA"/>
    <w:rsid w:val="00AD3E3D"/>
    <w:rsid w:val="00AE028B"/>
    <w:rsid w:val="00AE04FE"/>
    <w:rsid w:val="00AF193A"/>
    <w:rsid w:val="00AF2650"/>
    <w:rsid w:val="00AF2AF9"/>
    <w:rsid w:val="00AF4209"/>
    <w:rsid w:val="00AF6E1D"/>
    <w:rsid w:val="00AF7DA5"/>
    <w:rsid w:val="00B01936"/>
    <w:rsid w:val="00B111D2"/>
    <w:rsid w:val="00B16D71"/>
    <w:rsid w:val="00B1710B"/>
    <w:rsid w:val="00B3075F"/>
    <w:rsid w:val="00B44C99"/>
    <w:rsid w:val="00B44EC9"/>
    <w:rsid w:val="00B52C0E"/>
    <w:rsid w:val="00B54DA2"/>
    <w:rsid w:val="00B633AB"/>
    <w:rsid w:val="00B71530"/>
    <w:rsid w:val="00B71D0E"/>
    <w:rsid w:val="00B7214D"/>
    <w:rsid w:val="00B7758D"/>
    <w:rsid w:val="00B82691"/>
    <w:rsid w:val="00B915D4"/>
    <w:rsid w:val="00BA2753"/>
    <w:rsid w:val="00BB5ECE"/>
    <w:rsid w:val="00BB7690"/>
    <w:rsid w:val="00BC6437"/>
    <w:rsid w:val="00BD2477"/>
    <w:rsid w:val="00BD6B4D"/>
    <w:rsid w:val="00BE579C"/>
    <w:rsid w:val="00BE5F7B"/>
    <w:rsid w:val="00BF1DB2"/>
    <w:rsid w:val="00BF2CD7"/>
    <w:rsid w:val="00BF70A6"/>
    <w:rsid w:val="00BF7456"/>
    <w:rsid w:val="00C03688"/>
    <w:rsid w:val="00C1522E"/>
    <w:rsid w:val="00C21B1F"/>
    <w:rsid w:val="00C224C6"/>
    <w:rsid w:val="00C261CE"/>
    <w:rsid w:val="00C27C39"/>
    <w:rsid w:val="00C318BF"/>
    <w:rsid w:val="00C326D3"/>
    <w:rsid w:val="00C37EDD"/>
    <w:rsid w:val="00C40230"/>
    <w:rsid w:val="00C40C28"/>
    <w:rsid w:val="00C43BC6"/>
    <w:rsid w:val="00C44C6D"/>
    <w:rsid w:val="00C45665"/>
    <w:rsid w:val="00C508EE"/>
    <w:rsid w:val="00C575A0"/>
    <w:rsid w:val="00C66E1F"/>
    <w:rsid w:val="00C73630"/>
    <w:rsid w:val="00C760C4"/>
    <w:rsid w:val="00C777DF"/>
    <w:rsid w:val="00C81A53"/>
    <w:rsid w:val="00C8654A"/>
    <w:rsid w:val="00C86A61"/>
    <w:rsid w:val="00C95401"/>
    <w:rsid w:val="00CA3A97"/>
    <w:rsid w:val="00CA7015"/>
    <w:rsid w:val="00CB6B3B"/>
    <w:rsid w:val="00CC51B9"/>
    <w:rsid w:val="00CC552A"/>
    <w:rsid w:val="00CC57A0"/>
    <w:rsid w:val="00CC7259"/>
    <w:rsid w:val="00CD2747"/>
    <w:rsid w:val="00CD71C2"/>
    <w:rsid w:val="00CD745F"/>
    <w:rsid w:val="00CE7093"/>
    <w:rsid w:val="00CF4F6C"/>
    <w:rsid w:val="00CF7529"/>
    <w:rsid w:val="00D06D32"/>
    <w:rsid w:val="00D12468"/>
    <w:rsid w:val="00D14841"/>
    <w:rsid w:val="00D15F32"/>
    <w:rsid w:val="00D20665"/>
    <w:rsid w:val="00D22F8E"/>
    <w:rsid w:val="00D26D4D"/>
    <w:rsid w:val="00D27396"/>
    <w:rsid w:val="00D30109"/>
    <w:rsid w:val="00D3717E"/>
    <w:rsid w:val="00D44370"/>
    <w:rsid w:val="00D47975"/>
    <w:rsid w:val="00D5047C"/>
    <w:rsid w:val="00D50CF6"/>
    <w:rsid w:val="00D7435B"/>
    <w:rsid w:val="00D831EE"/>
    <w:rsid w:val="00D859CC"/>
    <w:rsid w:val="00D87110"/>
    <w:rsid w:val="00D902FA"/>
    <w:rsid w:val="00D907C3"/>
    <w:rsid w:val="00DA41A3"/>
    <w:rsid w:val="00DB13C3"/>
    <w:rsid w:val="00DB7D89"/>
    <w:rsid w:val="00DC0041"/>
    <w:rsid w:val="00DC3381"/>
    <w:rsid w:val="00DC6E07"/>
    <w:rsid w:val="00DD0655"/>
    <w:rsid w:val="00DD2D61"/>
    <w:rsid w:val="00DD3F9C"/>
    <w:rsid w:val="00DD5DF9"/>
    <w:rsid w:val="00DD76CB"/>
    <w:rsid w:val="00DE442D"/>
    <w:rsid w:val="00DF2FE5"/>
    <w:rsid w:val="00E0076E"/>
    <w:rsid w:val="00E02D50"/>
    <w:rsid w:val="00E0301C"/>
    <w:rsid w:val="00E10F53"/>
    <w:rsid w:val="00E12366"/>
    <w:rsid w:val="00E134AF"/>
    <w:rsid w:val="00E146C5"/>
    <w:rsid w:val="00E162CA"/>
    <w:rsid w:val="00E16B1D"/>
    <w:rsid w:val="00E200EA"/>
    <w:rsid w:val="00E37C6D"/>
    <w:rsid w:val="00E4277F"/>
    <w:rsid w:val="00E51166"/>
    <w:rsid w:val="00E57D1F"/>
    <w:rsid w:val="00E61170"/>
    <w:rsid w:val="00E61ADC"/>
    <w:rsid w:val="00E70135"/>
    <w:rsid w:val="00E70D98"/>
    <w:rsid w:val="00E90A3F"/>
    <w:rsid w:val="00E95266"/>
    <w:rsid w:val="00E977C4"/>
    <w:rsid w:val="00EB413B"/>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3A59"/>
    <w:rsid w:val="00F50F61"/>
    <w:rsid w:val="00F7017C"/>
    <w:rsid w:val="00F7609E"/>
    <w:rsid w:val="00F77540"/>
    <w:rsid w:val="00F85D5A"/>
    <w:rsid w:val="00F86303"/>
    <w:rsid w:val="00F9178A"/>
    <w:rsid w:val="00F932D6"/>
    <w:rsid w:val="00FA3D27"/>
    <w:rsid w:val="00FA3DF1"/>
    <w:rsid w:val="00FA5EC3"/>
    <w:rsid w:val="00FB193A"/>
    <w:rsid w:val="00FB4681"/>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1143</Words>
  <Characters>6528</Characters>
  <Application>Microsoft Office Word</Application>
  <DocSecurity>0</DocSecurity>
  <Lines>148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salesforceId:0a64e416-de69-482c-8c36-36e534df360f</dc:subject>
  <dc:creator>O'Donoghue, Ruaridh</dc:creator>
  <cp:keywords/>
  <dc:description/>
  <cp:lastModifiedBy>Edge, Alex</cp:lastModifiedBy>
  <cp:revision>104</cp:revision>
  <dcterms:created xsi:type="dcterms:W3CDTF">2025-07-04T14:58:00Z</dcterms:created>
  <dcterms:modified xsi:type="dcterms:W3CDTF">2026-02-16T09:06:00Z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069Q300000LyBnhIAF</vt:lpwstr>
  </property>
</Properties>
</file>