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5ADB0CE5" w:rsidR="000E38BA" w:rsidRPr="00290D1C" w:rsidRDefault="000E38BA" w:rsidP="00644E28">
      <w:pPr>
        <w:spacing w:line="276" w:lineRule="auto"/>
        <w:jc w:val="center"/>
        <w:rPr>
          <w:rFonts w:ascii="Arial" w:hAnsi="Arial" w:cs="Arial"/>
          <w:b/>
          <w:bCs/>
          <w:sz w:val="28"/>
          <w:szCs w:val="28"/>
        </w:rPr>
      </w:pPr>
      <w:r w:rsidRPr="00097010">
        <w:rPr>
          <w:rFonts w:ascii="Arial" w:hAnsi="Arial" w:cs="Arial"/>
          <w:b/>
          <w:bCs/>
          <w:sz w:val="28"/>
          <w:szCs w:val="28"/>
        </w:rPr>
        <w:t>APPLICATION FOR</w:t>
      </w:r>
      <w:r w:rsidRPr="00290D1C">
        <w:rPr>
          <w:rFonts w:ascii="Arial" w:hAnsi="Arial" w:cs="Arial"/>
          <w:b/>
          <w:bCs/>
          <w:sz w:val="28"/>
          <w:szCs w:val="28"/>
        </w:rPr>
        <w:t xml:space="preserve"> </w:t>
      </w:r>
      <w:r w:rsidR="00BB5F42" w:rsidRPr="00290D1C">
        <w:rPr>
          <w:rFonts w:ascii="Arial" w:hAnsi="Arial" w:cs="Arial"/>
          <w:b/>
          <w:bCs/>
          <w:sz w:val="28"/>
          <w:szCs w:val="28"/>
        </w:rPr>
        <w:t>LISTED BUILDING CONSENT</w:t>
      </w:r>
    </w:p>
    <w:p w14:paraId="2357C74A" w14:textId="77777777" w:rsidR="000E38BA" w:rsidRDefault="000E38BA" w:rsidP="00644E28">
      <w:pPr>
        <w:spacing w:line="276" w:lineRule="auto"/>
        <w:jc w:val="center"/>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0" w:type="auto"/>
        <w:tblInd w:w="0" w:type="dxa"/>
        <w:tblLook w:val="04A0" w:firstRow="1" w:lastRow="0" w:firstColumn="1" w:lastColumn="0" w:noHBand="0" w:noVBand="1"/>
      </w:tblPr>
      <w:tblGrid>
        <w:gridCol w:w="3539"/>
        <w:gridCol w:w="5812"/>
      </w:tblGrid>
      <w:tr w:rsidR="000E38BA" w14:paraId="6A8EBACF" w14:textId="77777777" w:rsidTr="008644AC">
        <w:tc>
          <w:tcPr>
            <w:tcW w:w="3539"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5812" w:type="dxa"/>
          </w:tcPr>
          <w:p w14:paraId="2AD28D98" w14:textId="744D7599" w:rsidR="000E38BA" w:rsidRPr="008644AC" w:rsidRDefault="00BB5F42" w:rsidP="00AE4D3F">
            <w:pPr>
              <w:spacing w:before="100" w:beforeAutospacing="1" w:after="100" w:afterAutospacing="1" w:line="276" w:lineRule="auto"/>
              <w:rPr>
                <w:rFonts w:ascii="Arial" w:hAnsi="Arial" w:cs="Arial"/>
                <w:sz w:val="22"/>
                <w:szCs w:val="22"/>
                <w:lang w:eastAsia="en-GB"/>
              </w:rPr>
            </w:pPr>
            <w:r w:rsidRPr="008644AC">
              <w:rPr>
                <w:rFonts w:ascii="Arial" w:hAnsi="Arial" w:cs="Arial"/>
                <w:sz w:val="22"/>
                <w:szCs w:val="22"/>
                <w:lang w:val="en-GB" w:eastAsia="en-GB"/>
              </w:rPr>
              <w:t>PL/2025/</w:t>
            </w:r>
            <w:r w:rsidR="00727220">
              <w:rPr>
                <w:rFonts w:ascii="Arial" w:hAnsi="Arial" w:cs="Arial"/>
                <w:sz w:val="22"/>
                <w:szCs w:val="22"/>
                <w:lang w:val="en-GB" w:eastAsia="en-GB"/>
              </w:rPr>
              <w:t>0</w:t>
            </w:r>
            <w:r w:rsidR="00644E28">
              <w:rPr>
                <w:rFonts w:ascii="Arial" w:hAnsi="Arial" w:cs="Arial"/>
                <w:sz w:val="22"/>
                <w:szCs w:val="22"/>
                <w:lang w:val="en-GB" w:eastAsia="en-GB"/>
              </w:rPr>
              <w:t>9183</w:t>
            </w:r>
          </w:p>
        </w:tc>
      </w:tr>
      <w:tr w:rsidR="000E38BA" w14:paraId="14619158" w14:textId="77777777" w:rsidTr="008644AC">
        <w:tc>
          <w:tcPr>
            <w:tcW w:w="3539"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5812" w:type="dxa"/>
          </w:tcPr>
          <w:p w14:paraId="5279593E" w14:textId="20A96FBA" w:rsidR="000E38BA" w:rsidRPr="008644AC" w:rsidRDefault="00BB5F42" w:rsidP="00AE4D3F">
            <w:pPr>
              <w:spacing w:before="100" w:beforeAutospacing="1" w:after="100" w:afterAutospacing="1" w:line="276" w:lineRule="auto"/>
              <w:rPr>
                <w:rFonts w:ascii="Arial" w:hAnsi="Arial" w:cs="Arial"/>
                <w:b/>
                <w:bCs/>
                <w:sz w:val="22"/>
                <w:szCs w:val="22"/>
                <w:lang w:eastAsia="en-GB"/>
              </w:rPr>
            </w:pPr>
            <w:r w:rsidRPr="008644AC">
              <w:rPr>
                <w:rFonts w:ascii="Arial" w:hAnsi="Arial" w:cs="Arial"/>
                <w:sz w:val="22"/>
                <w:szCs w:val="22"/>
                <w:lang w:eastAsia="en-GB"/>
              </w:rPr>
              <w:t>Listed Building Consent</w:t>
            </w:r>
          </w:p>
        </w:tc>
      </w:tr>
      <w:tr w:rsidR="000E38BA" w14:paraId="4E05CCB9" w14:textId="77777777" w:rsidTr="008644AC">
        <w:tc>
          <w:tcPr>
            <w:tcW w:w="3539"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5812" w:type="dxa"/>
          </w:tcPr>
          <w:p w14:paraId="0415A91F" w14:textId="21A556CF" w:rsidR="000E38BA" w:rsidRPr="008644AC" w:rsidRDefault="00A150C8" w:rsidP="00AE4D3F">
            <w:pPr>
              <w:spacing w:before="100" w:beforeAutospacing="1" w:after="100" w:afterAutospacing="1" w:line="276" w:lineRule="auto"/>
              <w:rPr>
                <w:rFonts w:ascii="Arial" w:hAnsi="Arial" w:cs="Arial"/>
                <w:b/>
                <w:bCs/>
                <w:sz w:val="22"/>
                <w:szCs w:val="22"/>
                <w:lang w:eastAsia="en-GB"/>
              </w:rPr>
            </w:pPr>
            <w:r w:rsidRPr="00E8226A">
              <w:rPr>
                <w:rFonts w:ascii="Arial" w:hAnsi="Arial" w:cs="Arial"/>
                <w:sz w:val="22"/>
                <w:szCs w:val="22"/>
                <w:lang w:eastAsia="en-GB"/>
              </w:rPr>
              <w:t xml:space="preserve">The Three Horseshoes, Frome Road, Bradford </w:t>
            </w:r>
            <w:proofErr w:type="gramStart"/>
            <w:r w:rsidRPr="00E8226A">
              <w:rPr>
                <w:rFonts w:ascii="Arial" w:hAnsi="Arial" w:cs="Arial"/>
                <w:sz w:val="22"/>
                <w:szCs w:val="22"/>
                <w:lang w:eastAsia="en-GB"/>
              </w:rPr>
              <w:t>On</w:t>
            </w:r>
            <w:proofErr w:type="gramEnd"/>
            <w:r w:rsidRPr="00E8226A">
              <w:rPr>
                <w:rFonts w:ascii="Arial" w:hAnsi="Arial" w:cs="Arial"/>
                <w:sz w:val="22"/>
                <w:szCs w:val="22"/>
                <w:lang w:eastAsia="en-GB"/>
              </w:rPr>
              <w:t xml:space="preserve"> Avon, BA15 1LA</w:t>
            </w:r>
          </w:p>
        </w:tc>
      </w:tr>
      <w:tr w:rsidR="000E38BA" w14:paraId="2AEB40D9" w14:textId="77777777" w:rsidTr="008644AC">
        <w:tc>
          <w:tcPr>
            <w:tcW w:w="3539"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5812" w:type="dxa"/>
          </w:tcPr>
          <w:p w14:paraId="3D70C967" w14:textId="41B57A66" w:rsidR="000E38BA" w:rsidRPr="008644AC" w:rsidRDefault="0041729C" w:rsidP="008644AC">
            <w:pPr>
              <w:spacing w:before="100" w:beforeAutospacing="1" w:after="100" w:afterAutospacing="1" w:line="276" w:lineRule="auto"/>
              <w:jc w:val="both"/>
              <w:rPr>
                <w:rFonts w:ascii="Arial" w:hAnsi="Arial" w:cs="Arial"/>
                <w:b/>
                <w:bCs/>
                <w:sz w:val="22"/>
                <w:szCs w:val="22"/>
                <w:lang w:eastAsia="en-GB"/>
              </w:rPr>
            </w:pPr>
            <w:r w:rsidRPr="00E8226A">
              <w:rPr>
                <w:rFonts w:ascii="Arial" w:hAnsi="Arial" w:cs="Arial"/>
                <w:sz w:val="22"/>
                <w:szCs w:val="22"/>
                <w:lang w:val="en-GB" w:eastAsia="en-GB"/>
              </w:rPr>
              <w:t>New signage to the front elevation &amp; at the rear carpark access with lighting over (Retrospective)</w:t>
            </w:r>
          </w:p>
        </w:tc>
      </w:tr>
      <w:tr w:rsidR="000E38BA" w14:paraId="4BF33E98" w14:textId="77777777" w:rsidTr="008644AC">
        <w:tc>
          <w:tcPr>
            <w:tcW w:w="3539"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5812" w:type="dxa"/>
          </w:tcPr>
          <w:p w14:paraId="535DAE44" w14:textId="03089A2C" w:rsidR="000E38BA" w:rsidRPr="008644AC" w:rsidRDefault="000E38BA" w:rsidP="00AE4D3F">
            <w:pPr>
              <w:spacing w:line="276" w:lineRule="auto"/>
              <w:rPr>
                <w:rFonts w:ascii="Arial" w:hAnsi="Arial" w:cs="Arial"/>
                <w:b/>
                <w:bCs/>
                <w:sz w:val="22"/>
                <w:szCs w:val="22"/>
                <w:lang w:eastAsia="en-GB"/>
              </w:rPr>
            </w:pPr>
            <w:r w:rsidRPr="008644AC">
              <w:rPr>
                <w:rFonts w:ascii="Arial" w:hAnsi="Arial" w:cs="Arial"/>
                <w:b/>
                <w:bCs/>
                <w:sz w:val="22"/>
                <w:szCs w:val="22"/>
                <w:lang w:eastAsia="en-GB"/>
              </w:rPr>
              <w:t xml:space="preserve">That </w:t>
            </w:r>
            <w:r w:rsidR="00EF2859">
              <w:rPr>
                <w:rFonts w:ascii="Arial" w:hAnsi="Arial" w:cs="Arial"/>
                <w:b/>
                <w:bCs/>
                <w:sz w:val="22"/>
                <w:szCs w:val="22"/>
                <w:lang w:eastAsia="en-GB"/>
              </w:rPr>
              <w:t>Listed Building Consent</w:t>
            </w:r>
            <w:r w:rsidRPr="008644AC">
              <w:rPr>
                <w:rFonts w:ascii="Arial" w:hAnsi="Arial" w:cs="Arial"/>
                <w:b/>
                <w:bCs/>
                <w:sz w:val="22"/>
                <w:szCs w:val="22"/>
                <w:lang w:eastAsia="en-GB"/>
              </w:rPr>
              <w:t xml:space="preserve">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72F2A68B" w14:textId="77777777" w:rsidR="009C06F3" w:rsidRPr="00C85767" w:rsidRDefault="009C06F3" w:rsidP="009C06F3">
      <w:pPr>
        <w:jc w:val="center"/>
        <w:rPr>
          <w:rFonts w:ascii="Arial" w:eastAsia="Arial" w:hAnsi="Arial" w:cs="Arial"/>
          <w:sz w:val="22"/>
          <w:szCs w:val="22"/>
        </w:rPr>
      </w:pPr>
      <w:r w:rsidRPr="006479A7">
        <w:rPr>
          <w:rFonts w:ascii="Arial" w:eastAsia="Arial" w:hAnsi="Arial" w:cs="Arial"/>
          <w:noProof/>
          <w:sz w:val="22"/>
          <w:szCs w:val="22"/>
          <w:bdr w:val="single" w:sz="12" w:space="0" w:color="auto"/>
        </w:rPr>
        <w:drawing>
          <wp:inline distT="0" distB="0" distL="0" distR="0" wp14:anchorId="5F8DD9B6" wp14:editId="5FE607D6">
            <wp:extent cx="2943225" cy="2432156"/>
            <wp:effectExtent l="0" t="0" r="0" b="6350"/>
            <wp:docPr id="941877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877700" name=""/>
                    <pic:cNvPicPr/>
                  </pic:nvPicPr>
                  <pic:blipFill>
                    <a:blip r:embed="rId5"/>
                    <a:stretch>
                      <a:fillRect/>
                    </a:stretch>
                  </pic:blipFill>
                  <pic:spPr>
                    <a:xfrm>
                      <a:off x="0" y="0"/>
                      <a:ext cx="2966562" cy="2451441"/>
                    </a:xfrm>
                    <a:prstGeom prst="rect">
                      <a:avLst/>
                    </a:prstGeom>
                  </pic:spPr>
                </pic:pic>
              </a:graphicData>
            </a:graphic>
          </wp:inline>
        </w:drawing>
      </w:r>
    </w:p>
    <w:p w14:paraId="61EC13DC" w14:textId="77777777" w:rsidR="009C06F3" w:rsidRPr="00C85767" w:rsidRDefault="009C06F3" w:rsidP="009C06F3">
      <w:pPr>
        <w:tabs>
          <w:tab w:val="left" w:pos="2520"/>
        </w:tabs>
        <w:jc w:val="both"/>
        <w:rPr>
          <w:rFonts w:ascii="Arial" w:hAnsi="Arial" w:cs="Arial"/>
          <w:sz w:val="20"/>
          <w:szCs w:val="20"/>
        </w:rPr>
      </w:pPr>
    </w:p>
    <w:p w14:paraId="38C2D862" w14:textId="77777777" w:rsidR="009C06F3" w:rsidRDefault="009C06F3" w:rsidP="009C06F3">
      <w:pPr>
        <w:spacing w:line="276" w:lineRule="auto"/>
        <w:jc w:val="both"/>
        <w:rPr>
          <w:rFonts w:ascii="Arial" w:hAnsi="Arial" w:cs="Arial"/>
          <w:b/>
          <w:sz w:val="22"/>
          <w:szCs w:val="22"/>
        </w:rPr>
      </w:pPr>
      <w:r w:rsidRPr="00C85767">
        <w:rPr>
          <w:rFonts w:ascii="Arial" w:hAnsi="Arial" w:cs="Arial"/>
          <w:b/>
          <w:sz w:val="22"/>
          <w:szCs w:val="22"/>
        </w:rPr>
        <w:t>SITE DESCRIPTION</w:t>
      </w:r>
      <w:r>
        <w:rPr>
          <w:rFonts w:ascii="Arial" w:hAnsi="Arial" w:cs="Arial"/>
          <w:b/>
          <w:sz w:val="22"/>
          <w:szCs w:val="22"/>
        </w:rPr>
        <w:t>/CONTEXT</w:t>
      </w:r>
    </w:p>
    <w:p w14:paraId="25F3EBF0" w14:textId="77777777" w:rsidR="009C06F3" w:rsidRDefault="009C06F3" w:rsidP="009C06F3">
      <w:pPr>
        <w:spacing w:line="276" w:lineRule="auto"/>
        <w:jc w:val="both"/>
        <w:rPr>
          <w:rFonts w:ascii="Arial" w:hAnsi="Arial" w:cs="Arial"/>
          <w:b/>
          <w:sz w:val="22"/>
          <w:szCs w:val="22"/>
        </w:rPr>
      </w:pPr>
    </w:p>
    <w:p w14:paraId="19AF22D8" w14:textId="77777777" w:rsidR="009C06F3" w:rsidRDefault="009C06F3" w:rsidP="009C06F3">
      <w:pPr>
        <w:spacing w:line="276" w:lineRule="auto"/>
        <w:jc w:val="both"/>
        <w:rPr>
          <w:rFonts w:ascii="Arial" w:hAnsi="Arial" w:cs="Arial"/>
          <w:sz w:val="22"/>
          <w:szCs w:val="22"/>
        </w:rPr>
      </w:pPr>
      <w:r w:rsidRPr="00A66235">
        <w:rPr>
          <w:rFonts w:ascii="Arial" w:hAnsi="Arial" w:cs="Arial"/>
          <w:sz w:val="22"/>
          <w:szCs w:val="22"/>
        </w:rPr>
        <w:t xml:space="preserve">The application site comprises The Three Horseshoes Public House, a Grade II listed building (1364513) situated on Frome Road, Bradford on Avon. The pub occupies a prominent corner position at the junction of Station Approach and Frome Road, within the Bradford on Avon Conservation Area (CA/W/31). Immediately adjacent to the site, on the </w:t>
      </w:r>
      <w:r>
        <w:rPr>
          <w:rFonts w:ascii="Arial" w:hAnsi="Arial" w:cs="Arial"/>
          <w:sz w:val="22"/>
          <w:szCs w:val="22"/>
        </w:rPr>
        <w:t>eastern</w:t>
      </w:r>
      <w:r w:rsidRPr="00A66235">
        <w:rPr>
          <w:rFonts w:ascii="Arial" w:hAnsi="Arial" w:cs="Arial"/>
          <w:sz w:val="22"/>
          <w:szCs w:val="22"/>
        </w:rPr>
        <w:t xml:space="preserve"> side of Frome Road, are the Men’s Almshouses (Nos. 1–4), which are themselves Grade II</w:t>
      </w:r>
      <w:r>
        <w:rPr>
          <w:rFonts w:ascii="Arial" w:hAnsi="Arial" w:cs="Arial"/>
          <w:sz w:val="22"/>
          <w:szCs w:val="22"/>
        </w:rPr>
        <w:t>*</w:t>
      </w:r>
      <w:r w:rsidRPr="00A66235">
        <w:rPr>
          <w:rFonts w:ascii="Arial" w:hAnsi="Arial" w:cs="Arial"/>
          <w:sz w:val="22"/>
          <w:szCs w:val="22"/>
        </w:rPr>
        <w:t xml:space="preserve"> listed (1200482). The proposed development seeks advertisement consent relating to signage associated with the public house.</w:t>
      </w:r>
    </w:p>
    <w:p w14:paraId="6ED864F9" w14:textId="77777777" w:rsidR="009C06F3" w:rsidRPr="00C85767" w:rsidRDefault="009C06F3" w:rsidP="009C06F3">
      <w:pPr>
        <w:spacing w:line="276" w:lineRule="auto"/>
        <w:jc w:val="both"/>
        <w:rPr>
          <w:rFonts w:ascii="Arial" w:hAnsi="Arial" w:cs="Arial"/>
          <w:sz w:val="22"/>
          <w:szCs w:val="22"/>
        </w:rPr>
      </w:pPr>
    </w:p>
    <w:p w14:paraId="7EA6A09C" w14:textId="77777777" w:rsidR="009C06F3" w:rsidRDefault="009C06F3" w:rsidP="009C06F3">
      <w:pPr>
        <w:pStyle w:val="Heading1"/>
        <w:spacing w:line="276" w:lineRule="auto"/>
      </w:pPr>
      <w:r w:rsidRPr="00C85767">
        <w:t>PROPOSAL</w:t>
      </w:r>
    </w:p>
    <w:p w14:paraId="596C8020" w14:textId="77777777" w:rsidR="009C06F3" w:rsidRPr="007276AB" w:rsidRDefault="009C06F3" w:rsidP="009C06F3"/>
    <w:p w14:paraId="327C246B" w14:textId="5B735E89" w:rsidR="009C06F3" w:rsidRPr="005B57B4" w:rsidRDefault="009C06F3" w:rsidP="009C06F3">
      <w:pPr>
        <w:spacing w:line="276" w:lineRule="auto"/>
        <w:jc w:val="both"/>
        <w:rPr>
          <w:rFonts w:ascii="Arial" w:eastAsiaTheme="majorEastAsia" w:hAnsi="Arial" w:cs="Arial"/>
          <w:sz w:val="22"/>
          <w:szCs w:val="22"/>
        </w:rPr>
      </w:pPr>
      <w:r w:rsidRPr="005B57B4">
        <w:rPr>
          <w:rFonts w:ascii="Arial" w:eastAsiaTheme="majorEastAsia" w:hAnsi="Arial" w:cs="Arial"/>
          <w:sz w:val="22"/>
          <w:szCs w:val="22"/>
        </w:rPr>
        <w:t xml:space="preserve">The application seeks </w:t>
      </w:r>
      <w:r>
        <w:rPr>
          <w:rFonts w:ascii="Arial" w:eastAsiaTheme="majorEastAsia" w:hAnsi="Arial" w:cs="Arial"/>
          <w:sz w:val="22"/>
          <w:szCs w:val="22"/>
        </w:rPr>
        <w:t xml:space="preserve">listed building </w:t>
      </w:r>
      <w:r w:rsidRPr="005B57B4">
        <w:rPr>
          <w:rFonts w:ascii="Arial" w:eastAsiaTheme="majorEastAsia" w:hAnsi="Arial" w:cs="Arial"/>
          <w:sz w:val="22"/>
          <w:szCs w:val="22"/>
        </w:rPr>
        <w:t xml:space="preserve">consent for </w:t>
      </w:r>
      <w:r w:rsidR="008F3CD7" w:rsidRPr="005B57B4">
        <w:rPr>
          <w:rFonts w:ascii="Arial" w:eastAsiaTheme="majorEastAsia" w:hAnsi="Arial" w:cs="Arial"/>
          <w:sz w:val="22"/>
          <w:szCs w:val="22"/>
        </w:rPr>
        <w:t xml:space="preserve">the </w:t>
      </w:r>
      <w:r w:rsidR="008F3CD7">
        <w:rPr>
          <w:rFonts w:ascii="Arial" w:eastAsiaTheme="majorEastAsia" w:hAnsi="Arial" w:cs="Arial"/>
          <w:sz w:val="22"/>
          <w:szCs w:val="22"/>
        </w:rPr>
        <w:t xml:space="preserve">retrospective </w:t>
      </w:r>
      <w:r w:rsidR="008F3CD7" w:rsidRPr="005B57B4">
        <w:rPr>
          <w:rFonts w:ascii="Arial" w:eastAsiaTheme="majorEastAsia" w:hAnsi="Arial" w:cs="Arial"/>
          <w:sz w:val="22"/>
          <w:szCs w:val="22"/>
        </w:rPr>
        <w:t>installation of two traditional painted timber signs at The Three Horseshoes Public House, a Grade II listed building within the Bradford on Avon Conservation Area, comprising a new frontage sign positioned above the main entrance on the Frome Road elevation and a secondary sign at the rear access</w:t>
      </w:r>
      <w:r w:rsidR="008F3CD7">
        <w:rPr>
          <w:rFonts w:ascii="Arial" w:eastAsiaTheme="majorEastAsia" w:hAnsi="Arial" w:cs="Arial"/>
          <w:sz w:val="22"/>
          <w:szCs w:val="22"/>
        </w:rPr>
        <w:t>. Currently not in place, the application proposes</w:t>
      </w:r>
      <w:r w:rsidR="008F3CD7" w:rsidRPr="005B57B4">
        <w:rPr>
          <w:rFonts w:ascii="Arial" w:eastAsiaTheme="majorEastAsia" w:hAnsi="Arial" w:cs="Arial"/>
          <w:sz w:val="22"/>
          <w:szCs w:val="22"/>
        </w:rPr>
        <w:t xml:space="preserve"> both </w:t>
      </w:r>
      <w:r w:rsidR="008F3CD7">
        <w:rPr>
          <w:rFonts w:ascii="Arial" w:eastAsiaTheme="majorEastAsia" w:hAnsi="Arial" w:cs="Arial"/>
          <w:sz w:val="22"/>
          <w:szCs w:val="22"/>
        </w:rPr>
        <w:t xml:space="preserve">to be </w:t>
      </w:r>
      <w:r w:rsidR="008F3CD7" w:rsidRPr="005B57B4">
        <w:rPr>
          <w:rFonts w:ascii="Arial" w:eastAsiaTheme="majorEastAsia" w:hAnsi="Arial" w:cs="Arial"/>
          <w:sz w:val="22"/>
          <w:szCs w:val="22"/>
        </w:rPr>
        <w:t>externally illuminated by traditionally styled swan</w:t>
      </w:r>
      <w:r w:rsidR="008F3CD7" w:rsidRPr="005B57B4">
        <w:rPr>
          <w:rFonts w:ascii="Arial" w:eastAsiaTheme="majorEastAsia" w:hAnsi="Arial" w:cs="Arial"/>
          <w:sz w:val="22"/>
          <w:szCs w:val="22"/>
        </w:rPr>
        <w:noBreakHyphen/>
        <w:t>neck light fittings finished to match the sign colour; the submitted Design and Access / Heritage Statement explains that the signs replace earlier signage and reflect the public house’s current branding, with no alterations proposed beyond the fixing of the signboards and lighting units.</w:t>
      </w:r>
    </w:p>
    <w:p w14:paraId="75B59C32" w14:textId="77777777" w:rsidR="00303570" w:rsidRDefault="00303570" w:rsidP="00F30ED3">
      <w:pPr>
        <w:spacing w:line="276" w:lineRule="auto"/>
        <w:rPr>
          <w:rFonts w:ascii="Arial" w:hAnsi="Arial" w:cs="Arial"/>
          <w:sz w:val="22"/>
          <w:szCs w:val="22"/>
        </w:rPr>
      </w:pPr>
    </w:p>
    <w:p w14:paraId="0FF4E7F3" w14:textId="77777777" w:rsidR="009C06F3" w:rsidRPr="00F30ED3" w:rsidRDefault="009C06F3" w:rsidP="00F30ED3">
      <w:pPr>
        <w:spacing w:line="276" w:lineRule="auto"/>
        <w:rPr>
          <w:rFonts w:ascii="Arial" w:hAnsi="Arial" w:cs="Arial"/>
          <w:sz w:val="22"/>
          <w:szCs w:val="22"/>
        </w:rPr>
      </w:pPr>
    </w:p>
    <w:p w14:paraId="6FA99D22" w14:textId="0A916CB8" w:rsidR="00AD1D50" w:rsidRDefault="00AD1D50" w:rsidP="00AD1D50">
      <w:pPr>
        <w:pStyle w:val="Heading5"/>
        <w:spacing w:before="0" w:line="276" w:lineRule="auto"/>
        <w:jc w:val="both"/>
        <w:rPr>
          <w:rFonts w:ascii="Arial" w:hAnsi="Arial" w:cs="Arial"/>
          <w:b/>
          <w:color w:val="auto"/>
          <w:sz w:val="22"/>
          <w:szCs w:val="22"/>
        </w:rPr>
      </w:pPr>
      <w:r w:rsidRPr="00C85767">
        <w:rPr>
          <w:rFonts w:ascii="Arial" w:hAnsi="Arial" w:cs="Arial"/>
          <w:b/>
          <w:color w:val="auto"/>
          <w:sz w:val="22"/>
          <w:szCs w:val="22"/>
        </w:rPr>
        <w:t>RELEVANT PLANNING HISTORY</w:t>
      </w:r>
    </w:p>
    <w:p w14:paraId="1962D7E2" w14:textId="77777777" w:rsidR="00AD1D50" w:rsidRPr="00AD1D50" w:rsidRDefault="00AD1D50" w:rsidP="00AD1D50"/>
    <w:tbl>
      <w:tblPr>
        <w:tblStyle w:val="TableGrid"/>
        <w:tblW w:w="0" w:type="auto"/>
        <w:tblInd w:w="0" w:type="dxa"/>
        <w:tblLook w:val="04A0" w:firstRow="1" w:lastRow="0" w:firstColumn="1" w:lastColumn="0" w:noHBand="0" w:noVBand="1"/>
      </w:tblPr>
      <w:tblGrid>
        <w:gridCol w:w="2122"/>
        <w:gridCol w:w="4519"/>
        <w:gridCol w:w="3321"/>
      </w:tblGrid>
      <w:tr w:rsidR="00AD1D50" w14:paraId="7DE26462" w14:textId="77777777" w:rsidTr="00C36B54">
        <w:tc>
          <w:tcPr>
            <w:tcW w:w="2122" w:type="dxa"/>
            <w:shd w:val="clear" w:color="auto" w:fill="F2F2F2" w:themeFill="background1" w:themeFillShade="F2"/>
          </w:tcPr>
          <w:p w14:paraId="58FE21ED" w14:textId="77777777" w:rsidR="00AD1D50" w:rsidRPr="000C6CD1" w:rsidRDefault="00AD1D50" w:rsidP="00C36B54">
            <w:pPr>
              <w:spacing w:line="276" w:lineRule="auto"/>
              <w:jc w:val="both"/>
              <w:rPr>
                <w:rFonts w:ascii="Arial" w:hAnsi="Arial" w:cs="Arial"/>
                <w:b/>
                <w:bCs/>
                <w:sz w:val="22"/>
                <w:szCs w:val="22"/>
              </w:rPr>
            </w:pPr>
            <w:r w:rsidRPr="000C6CD1">
              <w:rPr>
                <w:rFonts w:ascii="Arial" w:hAnsi="Arial" w:cs="Arial"/>
                <w:b/>
                <w:bCs/>
                <w:sz w:val="22"/>
                <w:szCs w:val="22"/>
              </w:rPr>
              <w:t>Reference</w:t>
            </w:r>
          </w:p>
        </w:tc>
        <w:tc>
          <w:tcPr>
            <w:tcW w:w="4519" w:type="dxa"/>
            <w:shd w:val="clear" w:color="auto" w:fill="F2F2F2" w:themeFill="background1" w:themeFillShade="F2"/>
          </w:tcPr>
          <w:p w14:paraId="2868759D" w14:textId="77777777" w:rsidR="00AD1D50" w:rsidRPr="000C6CD1" w:rsidRDefault="00AD1D50" w:rsidP="00C36B54">
            <w:pPr>
              <w:spacing w:line="276" w:lineRule="auto"/>
              <w:jc w:val="both"/>
              <w:rPr>
                <w:rFonts w:ascii="Arial" w:hAnsi="Arial" w:cs="Arial"/>
                <w:b/>
                <w:bCs/>
                <w:sz w:val="22"/>
                <w:szCs w:val="22"/>
              </w:rPr>
            </w:pPr>
            <w:r w:rsidRPr="000C6CD1">
              <w:rPr>
                <w:rFonts w:ascii="Arial" w:hAnsi="Arial" w:cs="Arial"/>
                <w:b/>
                <w:bCs/>
                <w:sz w:val="22"/>
                <w:szCs w:val="22"/>
              </w:rPr>
              <w:t>Description</w:t>
            </w:r>
          </w:p>
        </w:tc>
        <w:tc>
          <w:tcPr>
            <w:tcW w:w="3321" w:type="dxa"/>
            <w:shd w:val="clear" w:color="auto" w:fill="F2F2F2" w:themeFill="background1" w:themeFillShade="F2"/>
          </w:tcPr>
          <w:p w14:paraId="4A74CCD2" w14:textId="77777777" w:rsidR="00AD1D50" w:rsidRPr="000C6CD1" w:rsidRDefault="00AD1D50" w:rsidP="00C36B54">
            <w:pPr>
              <w:spacing w:line="276" w:lineRule="auto"/>
              <w:jc w:val="both"/>
              <w:rPr>
                <w:rFonts w:ascii="Arial" w:hAnsi="Arial" w:cs="Arial"/>
                <w:b/>
                <w:bCs/>
                <w:sz w:val="22"/>
                <w:szCs w:val="22"/>
              </w:rPr>
            </w:pPr>
            <w:r w:rsidRPr="000C6CD1">
              <w:rPr>
                <w:rFonts w:ascii="Arial" w:hAnsi="Arial" w:cs="Arial"/>
                <w:b/>
                <w:bCs/>
                <w:sz w:val="22"/>
                <w:szCs w:val="22"/>
              </w:rPr>
              <w:t>Decision</w:t>
            </w:r>
          </w:p>
        </w:tc>
      </w:tr>
      <w:tr w:rsidR="00AD1D50" w14:paraId="16A2959D" w14:textId="77777777" w:rsidTr="00C36B54">
        <w:tc>
          <w:tcPr>
            <w:tcW w:w="2122" w:type="dxa"/>
          </w:tcPr>
          <w:p w14:paraId="71320A78" w14:textId="77777777" w:rsidR="00AD1D50" w:rsidRDefault="00AD1D50" w:rsidP="00C36B54">
            <w:pPr>
              <w:spacing w:line="276" w:lineRule="auto"/>
              <w:jc w:val="both"/>
              <w:rPr>
                <w:rFonts w:ascii="Arial" w:hAnsi="Arial" w:cs="Arial"/>
                <w:sz w:val="22"/>
                <w:szCs w:val="22"/>
              </w:rPr>
            </w:pPr>
            <w:r>
              <w:rPr>
                <w:rFonts w:ascii="Arial" w:hAnsi="Arial" w:cs="Arial"/>
                <w:sz w:val="22"/>
                <w:szCs w:val="22"/>
              </w:rPr>
              <w:t>20/10418/FUL</w:t>
            </w:r>
          </w:p>
          <w:p w14:paraId="27C89C00" w14:textId="77777777" w:rsidR="00AD1D50" w:rsidRPr="00C57FE2" w:rsidRDefault="00AD1D50" w:rsidP="00C36B54">
            <w:pPr>
              <w:spacing w:line="276" w:lineRule="auto"/>
              <w:jc w:val="both"/>
              <w:rPr>
                <w:rFonts w:ascii="Arial" w:hAnsi="Arial" w:cs="Arial"/>
                <w:sz w:val="22"/>
                <w:szCs w:val="22"/>
              </w:rPr>
            </w:pPr>
            <w:r w:rsidRPr="006E15D3">
              <w:rPr>
                <w:rFonts w:ascii="Arial" w:hAnsi="Arial" w:cs="Arial"/>
                <w:sz w:val="22"/>
                <w:szCs w:val="22"/>
                <w:lang w:val="en-GB"/>
              </w:rPr>
              <w:t>20/11296/LBC</w:t>
            </w:r>
          </w:p>
        </w:tc>
        <w:tc>
          <w:tcPr>
            <w:tcW w:w="4519" w:type="dxa"/>
          </w:tcPr>
          <w:p w14:paraId="56156FF5" w14:textId="77777777" w:rsidR="00AD1D50" w:rsidRPr="00C57FE2" w:rsidRDefault="00AD1D50" w:rsidP="00C36B54">
            <w:pPr>
              <w:spacing w:line="276" w:lineRule="auto"/>
              <w:jc w:val="both"/>
              <w:rPr>
                <w:rFonts w:ascii="Arial" w:hAnsi="Arial" w:cs="Arial"/>
                <w:sz w:val="22"/>
                <w:szCs w:val="22"/>
              </w:rPr>
            </w:pPr>
            <w:r w:rsidRPr="00FC409C">
              <w:rPr>
                <w:rFonts w:ascii="Arial" w:hAnsi="Arial" w:cs="Arial"/>
                <w:sz w:val="22"/>
                <w:szCs w:val="22"/>
              </w:rPr>
              <w:t>Proposed conversion of part first floor to holiday</w:t>
            </w:r>
          </w:p>
        </w:tc>
        <w:tc>
          <w:tcPr>
            <w:tcW w:w="3321" w:type="dxa"/>
          </w:tcPr>
          <w:p w14:paraId="0F75008B" w14:textId="77777777" w:rsidR="00AD1D50" w:rsidRDefault="00AD1D50" w:rsidP="00C36B54">
            <w:pPr>
              <w:spacing w:line="276" w:lineRule="auto"/>
              <w:jc w:val="both"/>
              <w:rPr>
                <w:rFonts w:ascii="Arial" w:hAnsi="Arial" w:cs="Arial"/>
                <w:sz w:val="22"/>
                <w:szCs w:val="22"/>
              </w:rPr>
            </w:pPr>
            <w:r>
              <w:rPr>
                <w:rFonts w:ascii="Arial" w:hAnsi="Arial" w:cs="Arial"/>
                <w:sz w:val="22"/>
                <w:szCs w:val="22"/>
              </w:rPr>
              <w:t>Approved</w:t>
            </w:r>
          </w:p>
        </w:tc>
      </w:tr>
      <w:tr w:rsidR="00AD1D50" w14:paraId="38E6AD63" w14:textId="77777777" w:rsidTr="00C36B54">
        <w:tc>
          <w:tcPr>
            <w:tcW w:w="2122" w:type="dxa"/>
          </w:tcPr>
          <w:p w14:paraId="76525597" w14:textId="77777777" w:rsidR="00AD1D50" w:rsidRDefault="00AD1D50" w:rsidP="00C36B54">
            <w:pPr>
              <w:spacing w:line="276" w:lineRule="auto"/>
              <w:jc w:val="both"/>
              <w:rPr>
                <w:rFonts w:ascii="Arial" w:hAnsi="Arial" w:cs="Arial"/>
                <w:sz w:val="22"/>
                <w:szCs w:val="22"/>
              </w:rPr>
            </w:pPr>
            <w:r w:rsidRPr="00AF65E1">
              <w:rPr>
                <w:rFonts w:ascii="Arial" w:hAnsi="Arial" w:cs="Arial"/>
                <w:sz w:val="22"/>
                <w:szCs w:val="22"/>
              </w:rPr>
              <w:t>W/79/00839/FUL</w:t>
            </w:r>
          </w:p>
          <w:p w14:paraId="4FAA6C7A" w14:textId="77777777" w:rsidR="00AD1D50" w:rsidRDefault="00AD1D50" w:rsidP="00C36B54">
            <w:pPr>
              <w:spacing w:line="276" w:lineRule="auto"/>
              <w:jc w:val="both"/>
              <w:rPr>
                <w:rFonts w:ascii="Arial" w:hAnsi="Arial" w:cs="Arial"/>
                <w:sz w:val="22"/>
                <w:szCs w:val="22"/>
              </w:rPr>
            </w:pPr>
            <w:r w:rsidRPr="006E15D3">
              <w:rPr>
                <w:rFonts w:ascii="Arial" w:hAnsi="Arial" w:cs="Arial"/>
                <w:sz w:val="22"/>
                <w:szCs w:val="22"/>
              </w:rPr>
              <w:t>W/79/00025/LBC</w:t>
            </w:r>
          </w:p>
        </w:tc>
        <w:tc>
          <w:tcPr>
            <w:tcW w:w="4519" w:type="dxa"/>
          </w:tcPr>
          <w:p w14:paraId="58107071" w14:textId="77777777" w:rsidR="00AD1D50" w:rsidRPr="00FC409C" w:rsidRDefault="00AD1D50" w:rsidP="00C36B54">
            <w:pPr>
              <w:spacing w:line="276" w:lineRule="auto"/>
              <w:jc w:val="both"/>
              <w:rPr>
                <w:rFonts w:ascii="Arial" w:hAnsi="Arial" w:cs="Arial"/>
                <w:sz w:val="22"/>
                <w:szCs w:val="22"/>
              </w:rPr>
            </w:pPr>
            <w:r w:rsidRPr="00AF65E1">
              <w:rPr>
                <w:rFonts w:ascii="Arial" w:hAnsi="Arial" w:cs="Arial"/>
                <w:sz w:val="22"/>
                <w:szCs w:val="22"/>
              </w:rPr>
              <w:t>Bar alteration including Restaurant, kitchen and toilet facilities within existing building</w:t>
            </w:r>
          </w:p>
        </w:tc>
        <w:tc>
          <w:tcPr>
            <w:tcW w:w="3321" w:type="dxa"/>
          </w:tcPr>
          <w:p w14:paraId="09B67D04" w14:textId="77777777" w:rsidR="00AD1D50" w:rsidRDefault="00AD1D50" w:rsidP="00C36B54">
            <w:pPr>
              <w:spacing w:line="276" w:lineRule="auto"/>
              <w:jc w:val="both"/>
              <w:rPr>
                <w:rFonts w:ascii="Arial" w:hAnsi="Arial" w:cs="Arial"/>
                <w:sz w:val="22"/>
                <w:szCs w:val="22"/>
              </w:rPr>
            </w:pPr>
            <w:r>
              <w:rPr>
                <w:rFonts w:ascii="Arial" w:hAnsi="Arial" w:cs="Arial"/>
                <w:sz w:val="22"/>
                <w:szCs w:val="22"/>
              </w:rPr>
              <w:t>Approved</w:t>
            </w:r>
          </w:p>
        </w:tc>
      </w:tr>
      <w:tr w:rsidR="00AD1D50" w14:paraId="7901AFEF" w14:textId="77777777" w:rsidTr="00C36B54">
        <w:tc>
          <w:tcPr>
            <w:tcW w:w="2122" w:type="dxa"/>
          </w:tcPr>
          <w:p w14:paraId="04968BE1" w14:textId="77777777" w:rsidR="00AD1D50" w:rsidRPr="00AF65E1" w:rsidRDefault="00AD1D50" w:rsidP="00C36B54">
            <w:pPr>
              <w:spacing w:line="276" w:lineRule="auto"/>
              <w:jc w:val="both"/>
              <w:rPr>
                <w:rFonts w:ascii="Arial" w:hAnsi="Arial" w:cs="Arial"/>
                <w:sz w:val="22"/>
                <w:szCs w:val="22"/>
              </w:rPr>
            </w:pPr>
            <w:r w:rsidRPr="005A3537">
              <w:rPr>
                <w:rFonts w:ascii="Arial" w:hAnsi="Arial" w:cs="Arial"/>
                <w:sz w:val="22"/>
                <w:szCs w:val="22"/>
              </w:rPr>
              <w:t>W/94/00471/LBC</w:t>
            </w:r>
          </w:p>
        </w:tc>
        <w:tc>
          <w:tcPr>
            <w:tcW w:w="4519" w:type="dxa"/>
          </w:tcPr>
          <w:p w14:paraId="1E80F335" w14:textId="77777777" w:rsidR="00AD1D50" w:rsidRPr="00AF65E1" w:rsidRDefault="00AD1D50" w:rsidP="00C36B54">
            <w:pPr>
              <w:spacing w:line="276" w:lineRule="auto"/>
              <w:jc w:val="both"/>
              <w:rPr>
                <w:rFonts w:ascii="Arial" w:hAnsi="Arial" w:cs="Arial"/>
                <w:sz w:val="22"/>
                <w:szCs w:val="22"/>
              </w:rPr>
            </w:pPr>
            <w:r w:rsidRPr="005A3537">
              <w:rPr>
                <w:rFonts w:ascii="Arial" w:hAnsi="Arial" w:cs="Arial"/>
                <w:sz w:val="22"/>
                <w:szCs w:val="22"/>
              </w:rPr>
              <w:t>Replacement four panel door painted black</w:t>
            </w:r>
          </w:p>
        </w:tc>
        <w:tc>
          <w:tcPr>
            <w:tcW w:w="3321" w:type="dxa"/>
          </w:tcPr>
          <w:p w14:paraId="53FF0222" w14:textId="77777777" w:rsidR="00AD1D50" w:rsidRDefault="00AD1D50" w:rsidP="00C36B54">
            <w:pPr>
              <w:spacing w:line="276" w:lineRule="auto"/>
              <w:jc w:val="both"/>
              <w:rPr>
                <w:rFonts w:ascii="Arial" w:hAnsi="Arial" w:cs="Arial"/>
                <w:sz w:val="22"/>
                <w:szCs w:val="22"/>
              </w:rPr>
            </w:pPr>
            <w:r>
              <w:rPr>
                <w:rFonts w:ascii="Arial" w:hAnsi="Arial" w:cs="Arial"/>
                <w:sz w:val="22"/>
                <w:szCs w:val="22"/>
              </w:rPr>
              <w:t>Approved</w:t>
            </w:r>
          </w:p>
        </w:tc>
      </w:tr>
    </w:tbl>
    <w:p w14:paraId="6CF5503E" w14:textId="77777777" w:rsidR="00330FCB" w:rsidRPr="00F30ED3" w:rsidRDefault="00330FCB" w:rsidP="00F30ED3">
      <w:pPr>
        <w:spacing w:line="276" w:lineRule="auto"/>
        <w:rPr>
          <w:rFonts w:ascii="Arial" w:hAnsi="Arial" w:cs="Arial"/>
          <w:b/>
          <w:sz w:val="22"/>
          <w:szCs w:val="22"/>
        </w:rPr>
      </w:pPr>
    </w:p>
    <w:p w14:paraId="56AC9770" w14:textId="77777777" w:rsidR="00330FCB" w:rsidRPr="00F30ED3" w:rsidRDefault="00330FCB" w:rsidP="00F30ED3">
      <w:pPr>
        <w:spacing w:line="276" w:lineRule="auto"/>
        <w:rPr>
          <w:rFonts w:ascii="Arial" w:hAnsi="Arial" w:cs="Arial"/>
          <w:b/>
          <w:bCs/>
          <w:sz w:val="22"/>
          <w:szCs w:val="22"/>
        </w:rPr>
      </w:pPr>
      <w:r w:rsidRPr="00F30ED3">
        <w:rPr>
          <w:rFonts w:ascii="Arial" w:hAnsi="Arial" w:cs="Arial"/>
          <w:b/>
          <w:bCs/>
          <w:sz w:val="22"/>
          <w:szCs w:val="22"/>
        </w:rPr>
        <w:t>POLICIES</w:t>
      </w:r>
    </w:p>
    <w:p w14:paraId="363A8E03" w14:textId="77777777" w:rsidR="00330FCB" w:rsidRPr="00F30ED3" w:rsidRDefault="00330FCB" w:rsidP="00F30ED3">
      <w:pPr>
        <w:spacing w:line="276" w:lineRule="auto"/>
        <w:rPr>
          <w:rFonts w:ascii="Arial" w:hAnsi="Arial" w:cs="Arial"/>
          <w:b/>
          <w:bCs/>
          <w:sz w:val="22"/>
          <w:szCs w:val="22"/>
        </w:rPr>
      </w:pPr>
    </w:p>
    <w:p w14:paraId="7F66D942" w14:textId="77777777" w:rsidR="00330FCB" w:rsidRPr="00F30ED3" w:rsidRDefault="00330FCB" w:rsidP="00F30ED3">
      <w:pPr>
        <w:spacing w:line="276" w:lineRule="auto"/>
        <w:jc w:val="both"/>
        <w:rPr>
          <w:rFonts w:ascii="Arial" w:hAnsi="Arial" w:cs="Arial"/>
          <w:sz w:val="22"/>
          <w:szCs w:val="22"/>
        </w:rPr>
      </w:pPr>
      <w:r w:rsidRPr="00F30ED3">
        <w:rPr>
          <w:rFonts w:ascii="Arial" w:hAnsi="Arial" w:cs="Arial"/>
          <w:sz w:val="22"/>
          <w:szCs w:val="22"/>
        </w:rPr>
        <w:t>Under the provisions of section 70(2) of the Town and Country Act 1990 and section 38(6) of the Planning and Compulsory Purchase Act 2004, applications for planning permission must be determined in accordance with the development plan, unless material considerations indicate otherwise.</w:t>
      </w:r>
    </w:p>
    <w:p w14:paraId="27A9C6D1" w14:textId="77777777" w:rsidR="00330FCB" w:rsidRPr="00F30ED3" w:rsidRDefault="00330FCB" w:rsidP="00F30ED3">
      <w:pPr>
        <w:spacing w:line="276" w:lineRule="auto"/>
        <w:rPr>
          <w:rFonts w:ascii="Arial" w:hAnsi="Arial" w:cs="Arial"/>
          <w:sz w:val="22"/>
          <w:szCs w:val="22"/>
        </w:rPr>
      </w:pPr>
    </w:p>
    <w:p w14:paraId="373D13EC" w14:textId="77777777" w:rsidR="00330FCB" w:rsidRPr="00F30ED3" w:rsidRDefault="00330FCB" w:rsidP="00F30ED3">
      <w:pPr>
        <w:spacing w:line="276" w:lineRule="auto"/>
        <w:rPr>
          <w:rFonts w:ascii="Arial" w:hAnsi="Arial" w:cs="Arial"/>
          <w:b/>
          <w:bCs/>
          <w:sz w:val="22"/>
          <w:szCs w:val="22"/>
        </w:rPr>
      </w:pPr>
      <w:r w:rsidRPr="00F30ED3">
        <w:rPr>
          <w:rFonts w:ascii="Arial" w:hAnsi="Arial" w:cs="Arial"/>
          <w:b/>
          <w:bCs/>
          <w:sz w:val="22"/>
          <w:szCs w:val="22"/>
        </w:rPr>
        <w:t>DEVELOPMENT PLAN</w:t>
      </w:r>
    </w:p>
    <w:p w14:paraId="3D320FF6" w14:textId="77777777" w:rsidR="00330FCB" w:rsidRPr="00F30ED3" w:rsidRDefault="00330FCB" w:rsidP="00F30ED3">
      <w:pPr>
        <w:spacing w:line="276" w:lineRule="auto"/>
        <w:rPr>
          <w:rFonts w:ascii="Arial" w:hAnsi="Arial" w:cs="Arial"/>
          <w:sz w:val="22"/>
          <w:szCs w:val="22"/>
        </w:rPr>
      </w:pPr>
    </w:p>
    <w:p w14:paraId="449B384B" w14:textId="77777777" w:rsidR="00330FCB" w:rsidRPr="00F30ED3" w:rsidRDefault="00330FCB" w:rsidP="00F30ED3">
      <w:pPr>
        <w:spacing w:line="276" w:lineRule="auto"/>
        <w:rPr>
          <w:rFonts w:ascii="Arial" w:hAnsi="Arial" w:cs="Arial"/>
          <w:sz w:val="22"/>
          <w:szCs w:val="22"/>
        </w:rPr>
      </w:pPr>
      <w:r w:rsidRPr="00F30ED3">
        <w:rPr>
          <w:rFonts w:ascii="Arial" w:hAnsi="Arial" w:cs="Arial"/>
          <w:sz w:val="22"/>
          <w:szCs w:val="22"/>
          <w:u w:val="single"/>
        </w:rPr>
        <w:t>Wiltshire Core Strategy:</w:t>
      </w:r>
    </w:p>
    <w:p w14:paraId="11CB6C9E" w14:textId="77777777" w:rsidR="00330FCB" w:rsidRPr="00F30ED3" w:rsidRDefault="00330FCB" w:rsidP="00F30ED3">
      <w:pPr>
        <w:spacing w:line="276" w:lineRule="auto"/>
        <w:rPr>
          <w:rFonts w:ascii="Arial" w:hAnsi="Arial" w:cs="Arial"/>
          <w:sz w:val="22"/>
          <w:szCs w:val="22"/>
        </w:rPr>
      </w:pPr>
    </w:p>
    <w:p w14:paraId="441294EF" w14:textId="79862035" w:rsidR="00330FCB" w:rsidRPr="00AD1D50" w:rsidRDefault="00330FCB" w:rsidP="00AD1D50">
      <w:pPr>
        <w:pStyle w:val="ListParagraph"/>
        <w:numPr>
          <w:ilvl w:val="0"/>
          <w:numId w:val="11"/>
        </w:numPr>
        <w:autoSpaceDE w:val="0"/>
        <w:autoSpaceDN w:val="0"/>
        <w:adjustRightInd w:val="0"/>
        <w:spacing w:line="276" w:lineRule="auto"/>
        <w:rPr>
          <w:rFonts w:ascii="Arial" w:hAnsi="Arial" w:cs="Arial"/>
          <w:sz w:val="22"/>
          <w:szCs w:val="22"/>
        </w:rPr>
      </w:pPr>
      <w:r w:rsidRPr="00AD1D50">
        <w:rPr>
          <w:rFonts w:ascii="Arial" w:hAnsi="Arial" w:cs="Arial"/>
          <w:sz w:val="22"/>
          <w:szCs w:val="22"/>
        </w:rPr>
        <w:t xml:space="preserve">Core Policy 57 Ensuring High-Quality Design and Place </w:t>
      </w:r>
      <w:proofErr w:type="gramStart"/>
      <w:r w:rsidRPr="00AD1D50">
        <w:rPr>
          <w:rFonts w:ascii="Arial" w:hAnsi="Arial" w:cs="Arial"/>
          <w:sz w:val="22"/>
          <w:szCs w:val="22"/>
        </w:rPr>
        <w:t>Shaping;</w:t>
      </w:r>
      <w:proofErr w:type="gramEnd"/>
      <w:r w:rsidRPr="00AD1D50">
        <w:rPr>
          <w:rFonts w:ascii="Arial" w:hAnsi="Arial" w:cs="Arial"/>
          <w:sz w:val="22"/>
          <w:szCs w:val="22"/>
        </w:rPr>
        <w:t xml:space="preserve"> </w:t>
      </w:r>
    </w:p>
    <w:p w14:paraId="17E85CC2" w14:textId="5AE8446C" w:rsidR="00330FCB" w:rsidRPr="00AD1D50" w:rsidRDefault="00330FCB" w:rsidP="00AD1D50">
      <w:pPr>
        <w:pStyle w:val="ListParagraph"/>
        <w:numPr>
          <w:ilvl w:val="0"/>
          <w:numId w:val="11"/>
        </w:numPr>
        <w:autoSpaceDE w:val="0"/>
        <w:autoSpaceDN w:val="0"/>
        <w:adjustRightInd w:val="0"/>
        <w:spacing w:line="276" w:lineRule="auto"/>
        <w:rPr>
          <w:rFonts w:ascii="Arial" w:hAnsi="Arial" w:cs="Arial"/>
          <w:sz w:val="22"/>
          <w:szCs w:val="22"/>
        </w:rPr>
      </w:pPr>
      <w:r w:rsidRPr="00AD1D50">
        <w:rPr>
          <w:rFonts w:ascii="Arial" w:hAnsi="Arial" w:cs="Arial"/>
          <w:sz w:val="22"/>
          <w:szCs w:val="22"/>
        </w:rPr>
        <w:t>Core Policy 58</w:t>
      </w:r>
      <w:r w:rsidRPr="00AD1D50">
        <w:rPr>
          <w:rFonts w:ascii="Arial" w:hAnsi="Arial" w:cs="Arial"/>
          <w:sz w:val="22"/>
          <w:szCs w:val="22"/>
        </w:rPr>
        <w:tab/>
      </w:r>
      <w:r w:rsidR="00AD1D50">
        <w:rPr>
          <w:rFonts w:ascii="Arial" w:hAnsi="Arial" w:cs="Arial"/>
          <w:sz w:val="22"/>
          <w:szCs w:val="22"/>
        </w:rPr>
        <w:t xml:space="preserve"> </w:t>
      </w:r>
      <w:r w:rsidRPr="00AD1D50">
        <w:rPr>
          <w:rFonts w:ascii="Arial" w:hAnsi="Arial" w:cs="Arial"/>
          <w:sz w:val="22"/>
          <w:szCs w:val="22"/>
        </w:rPr>
        <w:t xml:space="preserve">Ensuring Conservation of the Historic </w:t>
      </w:r>
      <w:proofErr w:type="gramStart"/>
      <w:r w:rsidRPr="00AD1D50">
        <w:rPr>
          <w:rFonts w:ascii="Arial" w:hAnsi="Arial" w:cs="Arial"/>
          <w:sz w:val="22"/>
          <w:szCs w:val="22"/>
        </w:rPr>
        <w:t>Environment;</w:t>
      </w:r>
      <w:proofErr w:type="gramEnd"/>
    </w:p>
    <w:p w14:paraId="483B4057" w14:textId="77777777" w:rsidR="00330FCB" w:rsidRPr="00F30ED3" w:rsidRDefault="00330FCB" w:rsidP="00F30ED3">
      <w:pPr>
        <w:spacing w:line="276" w:lineRule="auto"/>
        <w:rPr>
          <w:rFonts w:ascii="Arial" w:hAnsi="Arial" w:cs="Arial"/>
          <w:color w:val="FF0000"/>
          <w:sz w:val="22"/>
          <w:szCs w:val="22"/>
        </w:rPr>
      </w:pPr>
    </w:p>
    <w:p w14:paraId="2420167C" w14:textId="77777777" w:rsidR="00330FCB" w:rsidRPr="00F30ED3" w:rsidRDefault="00330FCB" w:rsidP="00F30ED3">
      <w:pPr>
        <w:pStyle w:val="NoSpacing"/>
        <w:spacing w:line="276" w:lineRule="auto"/>
        <w:rPr>
          <w:b/>
          <w:bCs/>
        </w:rPr>
      </w:pPr>
      <w:r w:rsidRPr="00F30ED3">
        <w:rPr>
          <w:b/>
          <w:bCs/>
        </w:rPr>
        <w:t>NATIONAL PLANNING POLICY</w:t>
      </w:r>
    </w:p>
    <w:p w14:paraId="7E0B5475" w14:textId="77777777" w:rsidR="00330FCB" w:rsidRPr="00F30ED3" w:rsidRDefault="00330FCB" w:rsidP="00F30ED3">
      <w:pPr>
        <w:pStyle w:val="NoSpacing"/>
        <w:spacing w:line="276" w:lineRule="auto"/>
      </w:pPr>
    </w:p>
    <w:p w14:paraId="7AE2C9BF" w14:textId="0326CA9A" w:rsidR="00330FCB" w:rsidRPr="00F30ED3" w:rsidRDefault="00330FCB" w:rsidP="00F30ED3">
      <w:pPr>
        <w:pStyle w:val="NoSpacing"/>
        <w:spacing w:line="276" w:lineRule="auto"/>
      </w:pPr>
      <w:r w:rsidRPr="00F30ED3">
        <w:t>National Planning Policy Framework (NPPF)</w:t>
      </w:r>
    </w:p>
    <w:p w14:paraId="058546E2" w14:textId="4BB76EAD" w:rsidR="00330FCB" w:rsidRPr="00F30ED3" w:rsidRDefault="00330FCB" w:rsidP="00F30ED3">
      <w:pPr>
        <w:pStyle w:val="NoSpacing"/>
        <w:spacing w:line="276" w:lineRule="auto"/>
      </w:pPr>
      <w:r w:rsidRPr="00F30ED3">
        <w:t>Planning Practice Guidance (PPG)</w:t>
      </w:r>
    </w:p>
    <w:p w14:paraId="64FD0366" w14:textId="77777777" w:rsidR="00330FCB" w:rsidRPr="00F30ED3" w:rsidRDefault="00330FCB" w:rsidP="00F30ED3">
      <w:pPr>
        <w:pStyle w:val="NoSpacing"/>
        <w:spacing w:line="276" w:lineRule="auto"/>
      </w:pPr>
      <w:r w:rsidRPr="00F30ED3">
        <w:t>National Design Guidance</w:t>
      </w:r>
    </w:p>
    <w:p w14:paraId="71295159" w14:textId="77777777" w:rsidR="00F30ED3" w:rsidRPr="00F30ED3" w:rsidRDefault="00F30ED3" w:rsidP="00F30ED3">
      <w:pPr>
        <w:pStyle w:val="NoSpacing"/>
        <w:spacing w:line="276" w:lineRule="auto"/>
      </w:pPr>
    </w:p>
    <w:p w14:paraId="35F9D3D5" w14:textId="77777777" w:rsidR="00330FCB" w:rsidRPr="00F30ED3" w:rsidRDefault="00330FCB" w:rsidP="00F30ED3">
      <w:pPr>
        <w:pStyle w:val="NoSpacing"/>
        <w:spacing w:line="276" w:lineRule="auto"/>
        <w:rPr>
          <w:b/>
          <w:bCs/>
        </w:rPr>
      </w:pPr>
      <w:r w:rsidRPr="00F30ED3">
        <w:rPr>
          <w:b/>
          <w:bCs/>
        </w:rPr>
        <w:t>SUPPLEMENTARY PLANNING DOCUMENTS</w:t>
      </w:r>
    </w:p>
    <w:p w14:paraId="4C406A6B" w14:textId="77777777" w:rsidR="00330FCB" w:rsidRPr="00F30ED3" w:rsidRDefault="00330FCB" w:rsidP="00F30ED3">
      <w:pPr>
        <w:pStyle w:val="NoSpacing"/>
        <w:spacing w:line="276" w:lineRule="auto"/>
      </w:pPr>
    </w:p>
    <w:p w14:paraId="586EA854" w14:textId="7720B1ED" w:rsidR="00AD1D50" w:rsidRPr="00F30ED3" w:rsidRDefault="00330FCB" w:rsidP="00F30ED3">
      <w:pPr>
        <w:pStyle w:val="NoSpacing"/>
        <w:spacing w:line="276" w:lineRule="auto"/>
      </w:pPr>
      <w:r w:rsidRPr="00F30ED3">
        <w:t>Wiltshire Design Guide (Adopted April 2024)</w:t>
      </w:r>
    </w:p>
    <w:p w14:paraId="2AFB93D4" w14:textId="77777777" w:rsidR="00330FCB" w:rsidRPr="00F30ED3" w:rsidRDefault="00330FCB" w:rsidP="00F30ED3">
      <w:pPr>
        <w:pStyle w:val="NoSpacing"/>
        <w:spacing w:line="276" w:lineRule="auto"/>
      </w:pPr>
    </w:p>
    <w:p w14:paraId="1062FF90" w14:textId="77777777" w:rsidR="00330FCB" w:rsidRPr="00F30ED3" w:rsidRDefault="00330FCB" w:rsidP="00F30ED3">
      <w:pPr>
        <w:pStyle w:val="NoSpacing"/>
        <w:spacing w:line="276" w:lineRule="auto"/>
        <w:rPr>
          <w:b/>
          <w:bCs/>
        </w:rPr>
      </w:pPr>
      <w:r w:rsidRPr="00F30ED3">
        <w:rPr>
          <w:b/>
          <w:bCs/>
        </w:rPr>
        <w:t>STATUTORY LEGISLATION</w:t>
      </w:r>
    </w:p>
    <w:p w14:paraId="40F2FF18" w14:textId="77777777" w:rsidR="00330FCB" w:rsidRPr="00F30ED3" w:rsidRDefault="00330FCB" w:rsidP="00F30ED3">
      <w:pPr>
        <w:pStyle w:val="NoSpacing"/>
        <w:spacing w:line="276" w:lineRule="auto"/>
      </w:pPr>
    </w:p>
    <w:p w14:paraId="57B4497B" w14:textId="2E0FABB6" w:rsidR="00696923" w:rsidRPr="00F30ED3" w:rsidRDefault="00696923" w:rsidP="00F30ED3">
      <w:pPr>
        <w:pStyle w:val="NoSpacing"/>
        <w:spacing w:line="276" w:lineRule="auto"/>
      </w:pPr>
      <w:r>
        <w:t>Section 16 of the Planning (Listed Buildings and Conservation Areas) Act 1990 (listed building consent for</w:t>
      </w:r>
      <w:r w:rsidR="000B05DF">
        <w:t xml:space="preserve"> any works – preserving the building or its setting</w:t>
      </w:r>
      <w:r>
        <w:t>)</w:t>
      </w:r>
    </w:p>
    <w:p w14:paraId="07261FD9" w14:textId="77777777" w:rsidR="00330FCB" w:rsidRPr="00F30ED3" w:rsidRDefault="00330FCB" w:rsidP="00F30ED3">
      <w:pPr>
        <w:pStyle w:val="NoSpacing"/>
        <w:spacing w:line="276" w:lineRule="auto"/>
      </w:pPr>
    </w:p>
    <w:p w14:paraId="66387DA8" w14:textId="77777777" w:rsidR="00330FCB" w:rsidRPr="00F30ED3" w:rsidRDefault="00330FCB" w:rsidP="00F30ED3">
      <w:pPr>
        <w:pStyle w:val="NoSpacing"/>
        <w:spacing w:line="276" w:lineRule="auto"/>
      </w:pPr>
      <w:r w:rsidRPr="00F30ED3">
        <w:t>The Town and Country Planning (General Permitted Development) (England) Order 2015</w:t>
      </w:r>
    </w:p>
    <w:p w14:paraId="58E9D423" w14:textId="77777777" w:rsidR="00330FCB" w:rsidRDefault="00330FCB" w:rsidP="00F30ED3">
      <w:pPr>
        <w:pStyle w:val="NoSpacing"/>
        <w:spacing w:line="276" w:lineRule="auto"/>
      </w:pPr>
    </w:p>
    <w:p w14:paraId="0D8AF185" w14:textId="77777777" w:rsidR="00ED1BDF" w:rsidRDefault="00ED1BDF" w:rsidP="00ED1BDF">
      <w:pPr>
        <w:spacing w:line="276" w:lineRule="auto"/>
        <w:jc w:val="both"/>
        <w:rPr>
          <w:rFonts w:ascii="Arial" w:hAnsi="Arial" w:cs="Arial"/>
          <w:b/>
          <w:sz w:val="22"/>
          <w:szCs w:val="22"/>
        </w:rPr>
      </w:pPr>
      <w:r w:rsidRPr="00C85767">
        <w:rPr>
          <w:rFonts w:ascii="Arial" w:hAnsi="Arial" w:cs="Arial"/>
          <w:b/>
          <w:sz w:val="22"/>
          <w:szCs w:val="22"/>
        </w:rPr>
        <w:t>CONSULTEE RESPONSES</w:t>
      </w:r>
    </w:p>
    <w:p w14:paraId="26603F21" w14:textId="77777777" w:rsidR="00ED1BDF" w:rsidRPr="00C85767" w:rsidRDefault="00ED1BDF" w:rsidP="00ED1BDF">
      <w:pPr>
        <w:spacing w:line="276" w:lineRule="auto"/>
        <w:jc w:val="both"/>
        <w:rPr>
          <w:rFonts w:ascii="Arial" w:hAnsi="Arial" w:cs="Arial"/>
          <w:sz w:val="22"/>
          <w:szCs w:val="22"/>
        </w:rPr>
      </w:pPr>
    </w:p>
    <w:p w14:paraId="55629739" w14:textId="77777777" w:rsidR="00ED1BDF" w:rsidRPr="00C85767" w:rsidRDefault="00ED1BDF" w:rsidP="00ED1BDF">
      <w:pPr>
        <w:spacing w:line="276" w:lineRule="auto"/>
        <w:jc w:val="both"/>
        <w:rPr>
          <w:rFonts w:ascii="Arial" w:hAnsi="Arial" w:cs="Arial"/>
          <w:sz w:val="22"/>
          <w:szCs w:val="22"/>
        </w:rPr>
      </w:pPr>
      <w:r w:rsidRPr="00C85767">
        <w:rPr>
          <w:rFonts w:ascii="Arial" w:hAnsi="Arial" w:cs="Arial"/>
          <w:sz w:val="22"/>
          <w:szCs w:val="22"/>
        </w:rPr>
        <w:t>The following consultees were invited to comment on this application:</w:t>
      </w:r>
    </w:p>
    <w:p w14:paraId="4250556D" w14:textId="77777777" w:rsidR="00ED1BDF" w:rsidRDefault="00ED1BDF" w:rsidP="00ED1BDF">
      <w:pPr>
        <w:spacing w:line="276" w:lineRule="auto"/>
        <w:jc w:val="both"/>
        <w:rPr>
          <w:rFonts w:ascii="Arial" w:hAnsi="Arial" w:cs="Arial"/>
          <w:b/>
          <w:bCs/>
          <w:color w:val="FF0000"/>
          <w:sz w:val="22"/>
          <w:szCs w:val="22"/>
        </w:rPr>
      </w:pPr>
    </w:p>
    <w:p w14:paraId="1EEA09C5" w14:textId="77777777" w:rsidR="00ED1BDF" w:rsidRPr="0032037D" w:rsidRDefault="00ED1BDF" w:rsidP="00ED1BDF">
      <w:pPr>
        <w:spacing w:line="276" w:lineRule="auto"/>
        <w:jc w:val="both"/>
        <w:rPr>
          <w:rFonts w:ascii="Arial" w:hAnsi="Arial" w:cs="Arial"/>
          <w:sz w:val="22"/>
          <w:szCs w:val="22"/>
          <w:u w:val="single"/>
        </w:rPr>
      </w:pPr>
      <w:r w:rsidRPr="001C7029">
        <w:rPr>
          <w:rFonts w:ascii="Arial" w:hAnsi="Arial" w:cs="Arial"/>
          <w:sz w:val="22"/>
          <w:szCs w:val="22"/>
          <w:u w:val="single"/>
        </w:rPr>
        <w:t xml:space="preserve">Bradford on Avon Town Council </w:t>
      </w:r>
      <w:r>
        <w:rPr>
          <w:rFonts w:ascii="Arial" w:hAnsi="Arial" w:cs="Arial"/>
          <w:sz w:val="22"/>
          <w:szCs w:val="22"/>
          <w:u w:val="single"/>
        </w:rPr>
        <w:t>– No Objection</w:t>
      </w:r>
    </w:p>
    <w:p w14:paraId="138595DF" w14:textId="77777777" w:rsidR="00ED1BDF" w:rsidRPr="0032037D" w:rsidRDefault="00ED1BDF" w:rsidP="00ED1BDF">
      <w:pPr>
        <w:spacing w:line="276" w:lineRule="auto"/>
        <w:jc w:val="both"/>
        <w:rPr>
          <w:rFonts w:ascii="Arial" w:hAnsi="Arial" w:cs="Arial"/>
          <w:sz w:val="22"/>
          <w:szCs w:val="22"/>
        </w:rPr>
      </w:pPr>
    </w:p>
    <w:p w14:paraId="06D3548C" w14:textId="2798EBB7" w:rsidR="00ED1BDF" w:rsidRPr="0002229C" w:rsidRDefault="00ED1BDF" w:rsidP="00ED1BDF">
      <w:pPr>
        <w:spacing w:line="276" w:lineRule="auto"/>
        <w:jc w:val="both"/>
        <w:rPr>
          <w:rFonts w:ascii="Arial" w:hAnsi="Arial" w:cs="Arial"/>
          <w:sz w:val="22"/>
          <w:szCs w:val="22"/>
          <w:u w:val="single"/>
        </w:rPr>
      </w:pPr>
      <w:r w:rsidRPr="0032037D">
        <w:rPr>
          <w:rFonts w:ascii="Arial" w:hAnsi="Arial" w:cs="Arial"/>
          <w:sz w:val="22"/>
          <w:szCs w:val="22"/>
          <w:u w:val="single"/>
        </w:rPr>
        <w:t xml:space="preserve">Wiltshire Council’s </w:t>
      </w:r>
      <w:r>
        <w:rPr>
          <w:rFonts w:ascii="Arial" w:hAnsi="Arial" w:cs="Arial"/>
          <w:sz w:val="22"/>
          <w:szCs w:val="22"/>
          <w:u w:val="single"/>
        </w:rPr>
        <w:t>Ecology – No Objection</w:t>
      </w:r>
    </w:p>
    <w:p w14:paraId="745F2BBD" w14:textId="77777777" w:rsidR="00ED1BDF" w:rsidRDefault="00ED1BDF" w:rsidP="00ED1BDF">
      <w:pPr>
        <w:spacing w:line="276" w:lineRule="auto"/>
        <w:jc w:val="both"/>
        <w:rPr>
          <w:rFonts w:ascii="Arial" w:hAnsi="Arial" w:cs="Arial"/>
          <w:sz w:val="22"/>
          <w:szCs w:val="22"/>
        </w:rPr>
      </w:pPr>
    </w:p>
    <w:p w14:paraId="021DEA4C" w14:textId="77777777" w:rsidR="00ED1BDF" w:rsidRPr="001278A4" w:rsidRDefault="00ED1BDF" w:rsidP="00ED1BDF">
      <w:pPr>
        <w:spacing w:line="276" w:lineRule="auto"/>
        <w:jc w:val="both"/>
        <w:rPr>
          <w:rFonts w:ascii="Arial" w:hAnsi="Arial" w:cs="Arial"/>
          <w:sz w:val="22"/>
          <w:szCs w:val="22"/>
          <w:u w:val="single"/>
        </w:rPr>
      </w:pPr>
      <w:r w:rsidRPr="0032037D">
        <w:rPr>
          <w:rFonts w:ascii="Arial" w:hAnsi="Arial" w:cs="Arial"/>
          <w:sz w:val="22"/>
          <w:szCs w:val="22"/>
          <w:u w:val="single"/>
        </w:rPr>
        <w:t xml:space="preserve">Wiltshire Council’s </w:t>
      </w:r>
      <w:r>
        <w:rPr>
          <w:rFonts w:ascii="Arial" w:hAnsi="Arial" w:cs="Arial"/>
          <w:sz w:val="22"/>
          <w:szCs w:val="22"/>
          <w:u w:val="single"/>
        </w:rPr>
        <w:t>Conservation – Objection</w:t>
      </w:r>
    </w:p>
    <w:p w14:paraId="50B22A2B" w14:textId="77777777" w:rsidR="00ED1BDF" w:rsidRDefault="00ED1BDF" w:rsidP="00ED1BDF">
      <w:pPr>
        <w:spacing w:line="276" w:lineRule="auto"/>
        <w:jc w:val="both"/>
        <w:rPr>
          <w:rFonts w:ascii="Arial" w:hAnsi="Arial" w:cs="Arial"/>
          <w:sz w:val="22"/>
          <w:szCs w:val="22"/>
        </w:rPr>
      </w:pPr>
    </w:p>
    <w:p w14:paraId="5E08952E" w14:textId="77777777" w:rsidR="00ED1BDF" w:rsidRPr="00C85767" w:rsidRDefault="00ED1BDF" w:rsidP="00ED1BDF">
      <w:pPr>
        <w:spacing w:line="276" w:lineRule="auto"/>
        <w:jc w:val="both"/>
        <w:rPr>
          <w:rFonts w:ascii="Arial" w:hAnsi="Arial" w:cs="Arial"/>
          <w:sz w:val="22"/>
          <w:szCs w:val="22"/>
        </w:rPr>
      </w:pPr>
    </w:p>
    <w:p w14:paraId="0A4FE33A" w14:textId="77777777" w:rsidR="00ED1BDF" w:rsidRDefault="00ED1BDF" w:rsidP="00ED1BDF">
      <w:pPr>
        <w:spacing w:line="276" w:lineRule="auto"/>
        <w:jc w:val="both"/>
        <w:rPr>
          <w:rFonts w:ascii="Arial" w:hAnsi="Arial" w:cs="Arial"/>
          <w:b/>
          <w:sz w:val="22"/>
          <w:szCs w:val="22"/>
        </w:rPr>
      </w:pPr>
      <w:r w:rsidRPr="54609DEE">
        <w:rPr>
          <w:rFonts w:ascii="Arial" w:hAnsi="Arial" w:cs="Arial"/>
          <w:b/>
          <w:bCs/>
          <w:sz w:val="22"/>
          <w:szCs w:val="22"/>
        </w:rPr>
        <w:t>RESPRESENTATIONS</w:t>
      </w:r>
    </w:p>
    <w:p w14:paraId="35CCCF8F" w14:textId="77777777" w:rsidR="00ED1BDF" w:rsidRDefault="00ED1BDF" w:rsidP="00ED1BDF">
      <w:pPr>
        <w:spacing w:line="276" w:lineRule="auto"/>
        <w:jc w:val="both"/>
        <w:rPr>
          <w:rFonts w:ascii="Arial" w:hAnsi="Arial" w:cs="Arial"/>
          <w:color w:val="000000" w:themeColor="text1"/>
          <w:sz w:val="22"/>
          <w:szCs w:val="22"/>
        </w:rPr>
      </w:pPr>
    </w:p>
    <w:p w14:paraId="0D43703A" w14:textId="77777777" w:rsidR="00ED1BDF" w:rsidRDefault="00ED1BDF" w:rsidP="00ED1BD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One comment was received from the Bradford on Avon Preservation trust stating no objection.</w:t>
      </w:r>
    </w:p>
    <w:p w14:paraId="5041DBD5" w14:textId="77777777" w:rsidR="00F30ED3" w:rsidRPr="00F30ED3" w:rsidRDefault="00F30ED3" w:rsidP="00F30ED3">
      <w:pPr>
        <w:spacing w:line="276" w:lineRule="auto"/>
        <w:rPr>
          <w:rFonts w:ascii="Arial" w:hAnsi="Arial" w:cs="Arial"/>
          <w:sz w:val="22"/>
          <w:szCs w:val="22"/>
        </w:rPr>
      </w:pPr>
    </w:p>
    <w:p w14:paraId="1916D654" w14:textId="77777777" w:rsidR="00330FCB" w:rsidRPr="00F30ED3" w:rsidRDefault="00330FCB" w:rsidP="00F30ED3">
      <w:pPr>
        <w:spacing w:line="276" w:lineRule="auto"/>
        <w:rPr>
          <w:rFonts w:ascii="Arial" w:hAnsi="Arial" w:cs="Arial"/>
          <w:b/>
          <w:bCs/>
          <w:sz w:val="22"/>
          <w:szCs w:val="22"/>
        </w:rPr>
      </w:pPr>
      <w:r w:rsidRPr="00F30ED3">
        <w:rPr>
          <w:rFonts w:ascii="Arial" w:hAnsi="Arial" w:cs="Arial"/>
          <w:b/>
          <w:bCs/>
          <w:sz w:val="22"/>
          <w:szCs w:val="22"/>
        </w:rPr>
        <w:t>ASSESSMENT</w:t>
      </w:r>
    </w:p>
    <w:p w14:paraId="1C29049F" w14:textId="77777777" w:rsidR="00330FCB" w:rsidRPr="00F30ED3" w:rsidRDefault="00330FCB" w:rsidP="00F30ED3">
      <w:pPr>
        <w:spacing w:line="276" w:lineRule="auto"/>
        <w:rPr>
          <w:rFonts w:ascii="Arial" w:hAnsi="Arial" w:cs="Arial"/>
          <w:sz w:val="22"/>
          <w:szCs w:val="22"/>
        </w:rPr>
      </w:pPr>
    </w:p>
    <w:p w14:paraId="3ABB25BA" w14:textId="77777777" w:rsidR="008539A1" w:rsidRDefault="00330FCB" w:rsidP="00F30ED3">
      <w:pPr>
        <w:spacing w:line="276" w:lineRule="auto"/>
        <w:jc w:val="both"/>
        <w:rPr>
          <w:rFonts w:ascii="Arial" w:hAnsi="Arial" w:cs="Arial"/>
          <w:sz w:val="22"/>
          <w:szCs w:val="22"/>
        </w:rPr>
      </w:pPr>
      <w:r w:rsidRPr="00F30ED3">
        <w:rPr>
          <w:rFonts w:ascii="Arial" w:hAnsi="Arial" w:cs="Arial"/>
          <w:sz w:val="22"/>
          <w:szCs w:val="22"/>
        </w:rPr>
        <w:t>Section 70(2) of the Town and Country Planning Act 1990 and section 38(6) of the Planning and Compulsory Purchase Act 2004, require that the determination of planning applications must be made in accordance with the Development Plan, unless material considerations indicate otherwise.</w:t>
      </w:r>
      <w:r w:rsidR="008539A1">
        <w:rPr>
          <w:rFonts w:ascii="Arial" w:hAnsi="Arial" w:cs="Arial"/>
          <w:sz w:val="22"/>
          <w:szCs w:val="22"/>
        </w:rPr>
        <w:t xml:space="preserve"> </w:t>
      </w:r>
    </w:p>
    <w:p w14:paraId="667691A0" w14:textId="77777777" w:rsidR="008539A1" w:rsidRDefault="008539A1" w:rsidP="00F30ED3">
      <w:pPr>
        <w:spacing w:line="276" w:lineRule="auto"/>
        <w:jc w:val="both"/>
        <w:rPr>
          <w:rFonts w:ascii="Arial" w:hAnsi="Arial" w:cs="Arial"/>
          <w:sz w:val="22"/>
          <w:szCs w:val="22"/>
        </w:rPr>
      </w:pPr>
    </w:p>
    <w:p w14:paraId="6CA312C3" w14:textId="006E6A74" w:rsidR="00330FCB" w:rsidRPr="00F30ED3" w:rsidRDefault="008539A1" w:rsidP="00F30ED3">
      <w:pPr>
        <w:spacing w:line="276" w:lineRule="auto"/>
        <w:jc w:val="both"/>
        <w:rPr>
          <w:rFonts w:ascii="Arial" w:hAnsi="Arial" w:cs="Arial"/>
          <w:sz w:val="22"/>
          <w:szCs w:val="22"/>
        </w:rPr>
      </w:pPr>
      <w:r>
        <w:rPr>
          <w:rFonts w:ascii="Arial" w:hAnsi="Arial" w:cs="Arial"/>
          <w:sz w:val="22"/>
          <w:szCs w:val="22"/>
        </w:rPr>
        <w:t>In this case the application is for Listed Building Consent and therefore the consideration is limited to the effect on the listed building.  Issues relating to public safety and amenity are addressed in the associated application for advertisement consent.</w:t>
      </w:r>
    </w:p>
    <w:p w14:paraId="44852B76" w14:textId="77777777" w:rsidR="00330FCB" w:rsidRPr="00F30ED3" w:rsidRDefault="00330FCB" w:rsidP="00F30ED3">
      <w:pPr>
        <w:spacing w:line="276" w:lineRule="auto"/>
        <w:rPr>
          <w:rFonts w:ascii="Arial" w:hAnsi="Arial" w:cs="Arial"/>
          <w:sz w:val="22"/>
          <w:szCs w:val="22"/>
        </w:rPr>
      </w:pPr>
    </w:p>
    <w:p w14:paraId="54A3335B" w14:textId="5201CC80" w:rsidR="00A21F94" w:rsidRPr="00A21F94" w:rsidRDefault="000B05DF" w:rsidP="00A21F94">
      <w:pPr>
        <w:spacing w:line="276" w:lineRule="auto"/>
        <w:rPr>
          <w:rFonts w:ascii="Arial" w:hAnsi="Arial" w:cs="Arial"/>
          <w:sz w:val="22"/>
          <w:szCs w:val="22"/>
          <w:u w:val="single"/>
        </w:rPr>
      </w:pPr>
      <w:r>
        <w:rPr>
          <w:rFonts w:ascii="Arial" w:hAnsi="Arial" w:cs="Arial"/>
          <w:sz w:val="22"/>
          <w:szCs w:val="22"/>
          <w:u w:val="single"/>
        </w:rPr>
        <w:t xml:space="preserve">Impact upon </w:t>
      </w:r>
      <w:r w:rsidR="008F1DF3">
        <w:rPr>
          <w:rFonts w:ascii="Arial" w:hAnsi="Arial" w:cs="Arial"/>
          <w:sz w:val="22"/>
          <w:szCs w:val="22"/>
          <w:u w:val="single"/>
        </w:rPr>
        <w:t xml:space="preserve">the Grade II </w:t>
      </w:r>
      <w:r>
        <w:rPr>
          <w:rFonts w:ascii="Arial" w:hAnsi="Arial" w:cs="Arial"/>
          <w:sz w:val="22"/>
          <w:szCs w:val="22"/>
          <w:u w:val="single"/>
        </w:rPr>
        <w:t>listed building</w:t>
      </w:r>
    </w:p>
    <w:p w14:paraId="04A50ADB" w14:textId="77777777" w:rsidR="00A21F94" w:rsidRDefault="00A21F94" w:rsidP="00A21F94">
      <w:pPr>
        <w:spacing w:line="276" w:lineRule="auto"/>
        <w:rPr>
          <w:rFonts w:ascii="Arial" w:hAnsi="Arial" w:cs="Arial"/>
          <w:sz w:val="22"/>
          <w:szCs w:val="22"/>
        </w:rPr>
      </w:pPr>
    </w:p>
    <w:p w14:paraId="747C437C" w14:textId="6B9B3B94" w:rsidR="006C7EF7" w:rsidRDefault="006C7EF7" w:rsidP="006C7EF7">
      <w:pPr>
        <w:spacing w:line="276" w:lineRule="auto"/>
        <w:jc w:val="both"/>
        <w:rPr>
          <w:rFonts w:ascii="Arial" w:hAnsi="Arial" w:cs="Arial"/>
          <w:color w:val="000000" w:themeColor="text1"/>
          <w:sz w:val="22"/>
          <w:szCs w:val="22"/>
        </w:rPr>
      </w:pPr>
      <w:r w:rsidRPr="009A4915">
        <w:rPr>
          <w:rFonts w:ascii="Arial" w:hAnsi="Arial" w:cs="Arial"/>
          <w:color w:val="000000" w:themeColor="text1"/>
          <w:sz w:val="22"/>
          <w:szCs w:val="22"/>
        </w:rPr>
        <w:t xml:space="preserve">The proposal seeks retrospective </w:t>
      </w:r>
      <w:r w:rsidR="008539A1">
        <w:rPr>
          <w:rFonts w:ascii="Arial" w:hAnsi="Arial" w:cs="Arial"/>
          <w:color w:val="000000" w:themeColor="text1"/>
          <w:sz w:val="22"/>
          <w:szCs w:val="22"/>
        </w:rPr>
        <w:t xml:space="preserve">listed building </w:t>
      </w:r>
      <w:r w:rsidRPr="009A4915">
        <w:rPr>
          <w:rFonts w:ascii="Arial" w:hAnsi="Arial" w:cs="Arial"/>
          <w:color w:val="000000" w:themeColor="text1"/>
          <w:sz w:val="22"/>
          <w:szCs w:val="22"/>
        </w:rPr>
        <w:t>consent for the installation of two painted timber signs with associated lighting to the front and rear elevations of The Three Horseshoes, a Grade II listed public house positioned prominently within the Bradford</w:t>
      </w:r>
      <w:r w:rsidRPr="009A4915">
        <w:rPr>
          <w:rFonts w:ascii="Arial" w:hAnsi="Arial" w:cs="Arial"/>
          <w:color w:val="000000" w:themeColor="text1"/>
          <w:sz w:val="22"/>
          <w:szCs w:val="22"/>
        </w:rPr>
        <w:noBreakHyphen/>
        <w:t>on</w:t>
      </w:r>
      <w:r w:rsidRPr="009A4915">
        <w:rPr>
          <w:rFonts w:ascii="Arial" w:hAnsi="Arial" w:cs="Arial"/>
          <w:color w:val="000000" w:themeColor="text1"/>
          <w:sz w:val="22"/>
          <w:szCs w:val="22"/>
        </w:rPr>
        <w:noBreakHyphen/>
        <w:t xml:space="preserve">Avon Conservation Area. In assessing works to a listed building, Section 16(2) of the Planning (Listed Buildings and Conservation Areas) Act 1990 requires the Local Planning Authority to have </w:t>
      </w:r>
      <w:r w:rsidRPr="009A4915">
        <w:rPr>
          <w:rFonts w:ascii="Arial" w:hAnsi="Arial" w:cs="Arial"/>
          <w:i/>
          <w:iCs/>
          <w:color w:val="000000" w:themeColor="text1"/>
          <w:sz w:val="22"/>
          <w:szCs w:val="22"/>
        </w:rPr>
        <w:t>special regard</w:t>
      </w:r>
      <w:r w:rsidRPr="009A4915">
        <w:rPr>
          <w:rFonts w:ascii="Arial" w:hAnsi="Arial" w:cs="Arial"/>
          <w:color w:val="000000" w:themeColor="text1"/>
          <w:sz w:val="22"/>
          <w:szCs w:val="22"/>
        </w:rPr>
        <w:t xml:space="preserve"> to the desirability of preserving the building, its setting, and any features of special architectural or historic interest it possesses. Likewise, </w:t>
      </w:r>
    </w:p>
    <w:p w14:paraId="5E35ED26" w14:textId="77777777" w:rsidR="006C7EF7" w:rsidRPr="009A4915" w:rsidRDefault="006C7EF7" w:rsidP="006C7EF7">
      <w:pPr>
        <w:spacing w:line="276" w:lineRule="auto"/>
        <w:jc w:val="both"/>
        <w:rPr>
          <w:rFonts w:ascii="Arial" w:hAnsi="Arial" w:cs="Arial"/>
          <w:color w:val="000000" w:themeColor="text1"/>
          <w:sz w:val="22"/>
          <w:szCs w:val="22"/>
        </w:rPr>
      </w:pPr>
    </w:p>
    <w:p w14:paraId="55D7A372" w14:textId="205740B2" w:rsidR="006C7EF7" w:rsidRDefault="006C7EF7" w:rsidP="006C7EF7">
      <w:pPr>
        <w:spacing w:line="276" w:lineRule="auto"/>
        <w:jc w:val="both"/>
        <w:rPr>
          <w:rFonts w:ascii="Arial" w:hAnsi="Arial" w:cs="Arial"/>
          <w:color w:val="000000" w:themeColor="text1"/>
          <w:sz w:val="22"/>
          <w:szCs w:val="22"/>
        </w:rPr>
      </w:pPr>
      <w:r w:rsidRPr="009A4915">
        <w:rPr>
          <w:rFonts w:ascii="Arial" w:hAnsi="Arial" w:cs="Arial"/>
          <w:color w:val="000000" w:themeColor="text1"/>
          <w:sz w:val="22"/>
          <w:szCs w:val="22"/>
        </w:rPr>
        <w:t>The signs compris</w:t>
      </w:r>
      <w:r w:rsidR="00763C6E">
        <w:rPr>
          <w:rFonts w:ascii="Arial" w:hAnsi="Arial" w:cs="Arial"/>
          <w:color w:val="000000" w:themeColor="text1"/>
          <w:sz w:val="22"/>
          <w:szCs w:val="22"/>
        </w:rPr>
        <w:t xml:space="preserve">e </w:t>
      </w:r>
      <w:r w:rsidRPr="009A4915">
        <w:rPr>
          <w:rFonts w:ascii="Arial" w:hAnsi="Arial" w:cs="Arial"/>
          <w:color w:val="000000" w:themeColor="text1"/>
          <w:sz w:val="22"/>
          <w:szCs w:val="22"/>
        </w:rPr>
        <w:t>painted timber boards fixed to existing façades without the removal of historic fabric. Their installation does not involve cutting into, altering, or obscuring any architectural features, and the works remain entirely reversible without harm to the underlying fabric. The design—including scale, typography, and form—is typical of commercial signage associated with public houses and sits comfortably within the established pattern of pub</w:t>
      </w:r>
      <w:r w:rsidRPr="009A4915">
        <w:rPr>
          <w:rFonts w:ascii="Arial" w:hAnsi="Arial" w:cs="Arial"/>
          <w:color w:val="000000" w:themeColor="text1"/>
          <w:sz w:val="22"/>
          <w:szCs w:val="22"/>
        </w:rPr>
        <w:noBreakHyphen/>
        <w:t>frontage presentation. The chosen colour palette is sympathetic to the existing tones of the building, avoiding visual dominance and maintaining a coherent relationship with the architectural character of the frontage.</w:t>
      </w:r>
    </w:p>
    <w:p w14:paraId="4CA621AF" w14:textId="77777777" w:rsidR="006C7EF7" w:rsidRPr="009A4915" w:rsidRDefault="006C7EF7" w:rsidP="006C7EF7">
      <w:pPr>
        <w:spacing w:line="276" w:lineRule="auto"/>
        <w:jc w:val="both"/>
        <w:rPr>
          <w:rFonts w:ascii="Arial" w:hAnsi="Arial" w:cs="Arial"/>
          <w:color w:val="000000" w:themeColor="text1"/>
          <w:sz w:val="22"/>
          <w:szCs w:val="22"/>
        </w:rPr>
      </w:pPr>
    </w:p>
    <w:p w14:paraId="1C67052D" w14:textId="38687693" w:rsidR="006C7EF7" w:rsidRDefault="006C7EF7" w:rsidP="006C7EF7">
      <w:pPr>
        <w:spacing w:line="276" w:lineRule="auto"/>
        <w:jc w:val="both"/>
        <w:rPr>
          <w:rFonts w:ascii="Arial" w:hAnsi="Arial" w:cs="Arial"/>
          <w:color w:val="000000" w:themeColor="text1"/>
          <w:sz w:val="22"/>
          <w:szCs w:val="22"/>
        </w:rPr>
      </w:pPr>
      <w:r w:rsidRPr="009A4915">
        <w:rPr>
          <w:rFonts w:ascii="Arial" w:hAnsi="Arial" w:cs="Arial"/>
          <w:color w:val="000000" w:themeColor="text1"/>
          <w:sz w:val="22"/>
          <w:szCs w:val="22"/>
        </w:rPr>
        <w:t xml:space="preserve">In terms of wider setting, the building forms part of a group with nearby heritage assets, including the listed </w:t>
      </w:r>
      <w:proofErr w:type="spellStart"/>
      <w:r w:rsidRPr="009A4915">
        <w:rPr>
          <w:rFonts w:ascii="Arial" w:hAnsi="Arial" w:cs="Arial"/>
          <w:color w:val="000000" w:themeColor="text1"/>
          <w:sz w:val="22"/>
          <w:szCs w:val="22"/>
        </w:rPr>
        <w:t>almshouses</w:t>
      </w:r>
      <w:proofErr w:type="spellEnd"/>
      <w:r w:rsidRPr="009A4915">
        <w:rPr>
          <w:rFonts w:ascii="Arial" w:hAnsi="Arial" w:cs="Arial"/>
          <w:color w:val="000000" w:themeColor="text1"/>
          <w:sz w:val="22"/>
          <w:szCs w:val="22"/>
        </w:rPr>
        <w:t xml:space="preserve"> located to the north</w:t>
      </w:r>
      <w:r w:rsidRPr="009A4915">
        <w:rPr>
          <w:rFonts w:ascii="Arial" w:hAnsi="Arial" w:cs="Arial"/>
          <w:color w:val="000000" w:themeColor="text1"/>
          <w:sz w:val="22"/>
          <w:szCs w:val="22"/>
        </w:rPr>
        <w:noBreakHyphen/>
        <w:t xml:space="preserve">east. The signage does not interrupt or alter key views towards or from these assets, nor does it introduce visual clutter of a scale that would compete with their architectural expression. The modest nature of the signage ensures that the contribution of the </w:t>
      </w:r>
      <w:proofErr w:type="spellStart"/>
      <w:r w:rsidRPr="009A4915">
        <w:rPr>
          <w:rFonts w:ascii="Arial" w:hAnsi="Arial" w:cs="Arial"/>
          <w:color w:val="000000" w:themeColor="text1"/>
          <w:sz w:val="22"/>
          <w:szCs w:val="22"/>
        </w:rPr>
        <w:t>almshouses</w:t>
      </w:r>
      <w:proofErr w:type="spellEnd"/>
      <w:r w:rsidRPr="009A4915">
        <w:rPr>
          <w:rFonts w:ascii="Arial" w:hAnsi="Arial" w:cs="Arial"/>
          <w:color w:val="000000" w:themeColor="text1"/>
          <w:sz w:val="22"/>
          <w:szCs w:val="22"/>
        </w:rPr>
        <w:t xml:space="preserve"> to the historic streetscape is preserved, and their appreciation is unaffected.</w:t>
      </w:r>
    </w:p>
    <w:p w14:paraId="373E5794" w14:textId="77777777" w:rsidR="006C7EF7" w:rsidRPr="009A4915" w:rsidRDefault="006C7EF7" w:rsidP="006C7EF7">
      <w:pPr>
        <w:spacing w:line="276" w:lineRule="auto"/>
        <w:jc w:val="both"/>
        <w:rPr>
          <w:rFonts w:ascii="Arial" w:hAnsi="Arial" w:cs="Arial"/>
          <w:color w:val="000000" w:themeColor="text1"/>
          <w:sz w:val="22"/>
          <w:szCs w:val="22"/>
        </w:rPr>
      </w:pPr>
    </w:p>
    <w:p w14:paraId="49E67A6A" w14:textId="77777777" w:rsidR="00531B70" w:rsidRPr="00172085" w:rsidRDefault="00531B70" w:rsidP="00531B70">
      <w:pPr>
        <w:spacing w:line="276" w:lineRule="auto"/>
        <w:jc w:val="both"/>
        <w:rPr>
          <w:rFonts w:ascii="Arial" w:hAnsi="Arial" w:cs="Arial"/>
          <w:sz w:val="22"/>
          <w:szCs w:val="22"/>
        </w:rPr>
      </w:pPr>
      <w:r w:rsidRPr="00172085">
        <w:rPr>
          <w:rFonts w:ascii="Arial" w:hAnsi="Arial" w:cs="Arial"/>
          <w:sz w:val="22"/>
          <w:szCs w:val="22"/>
        </w:rPr>
        <w:t>The proposal includes the installation of three swan</w:t>
      </w:r>
      <w:r w:rsidRPr="00172085">
        <w:rPr>
          <w:rFonts w:ascii="Arial" w:hAnsi="Arial" w:cs="Arial"/>
          <w:sz w:val="22"/>
          <w:szCs w:val="22"/>
        </w:rPr>
        <w:noBreakHyphen/>
        <w:t>neck lights to illuminate the signage on the Frome Road elevation, and a single swan</w:t>
      </w:r>
      <w:r w:rsidRPr="00172085">
        <w:rPr>
          <w:rFonts w:ascii="Arial" w:hAnsi="Arial" w:cs="Arial"/>
          <w:sz w:val="22"/>
          <w:szCs w:val="22"/>
        </w:rPr>
        <w:noBreakHyphen/>
        <w:t>neck light to illuminate the Station Approach sign. Guidance from the Institute of Lighting Professionals for illuminated advertisements identifies a maximum luminance level of 300 cd/m² for Suburban E3 lighting zones. The applicant’s Design and Access Statement confirms that the proposed lights would not exceed this level and would use warm</w:t>
      </w:r>
      <w:r w:rsidRPr="00172085">
        <w:rPr>
          <w:rFonts w:ascii="Arial" w:hAnsi="Arial" w:cs="Arial"/>
          <w:sz w:val="22"/>
          <w:szCs w:val="22"/>
        </w:rPr>
        <w:noBreakHyphen/>
        <w:t>white bulbs.</w:t>
      </w:r>
    </w:p>
    <w:p w14:paraId="29F3105F" w14:textId="77777777" w:rsidR="00531B70" w:rsidRPr="00172085" w:rsidRDefault="00531B70" w:rsidP="00531B70">
      <w:pPr>
        <w:spacing w:line="276" w:lineRule="auto"/>
        <w:jc w:val="both"/>
        <w:rPr>
          <w:rFonts w:ascii="Arial" w:hAnsi="Arial" w:cs="Arial"/>
          <w:sz w:val="22"/>
          <w:szCs w:val="22"/>
        </w:rPr>
      </w:pPr>
    </w:p>
    <w:p w14:paraId="5CFEA891" w14:textId="62840424" w:rsidR="00783E82" w:rsidRPr="00A55F84" w:rsidRDefault="00531B70" w:rsidP="00783E82">
      <w:pPr>
        <w:spacing w:line="276" w:lineRule="auto"/>
        <w:jc w:val="both"/>
        <w:rPr>
          <w:rFonts w:ascii="Arial" w:hAnsi="Arial" w:cs="Arial"/>
          <w:sz w:val="22"/>
          <w:szCs w:val="22"/>
        </w:rPr>
      </w:pPr>
      <w:r w:rsidRPr="00172085">
        <w:rPr>
          <w:rFonts w:ascii="Arial" w:hAnsi="Arial" w:cs="Arial"/>
          <w:sz w:val="22"/>
          <w:szCs w:val="22"/>
        </w:rPr>
        <w:t xml:space="preserve">Given the modest luminance, the proposal is considered to have a low visual impact </w:t>
      </w:r>
      <w:r w:rsidR="00A55F84">
        <w:rPr>
          <w:rFonts w:ascii="Arial" w:hAnsi="Arial" w:cs="Arial"/>
          <w:sz w:val="22"/>
          <w:szCs w:val="22"/>
        </w:rPr>
        <w:t xml:space="preserve">on the character and appearance of the listed building.  </w:t>
      </w:r>
      <w:r w:rsidR="00783E82" w:rsidRPr="00783E82">
        <w:rPr>
          <w:rFonts w:ascii="Arial" w:hAnsi="Arial" w:cs="Arial"/>
          <w:color w:val="000000" w:themeColor="text1"/>
          <w:sz w:val="22"/>
          <w:szCs w:val="22"/>
        </w:rPr>
        <w:t>It is considered that the proposed signage and associated illumination would result in no harm to the special architectural or historic interest of the listed building. The signage is of a temporary, fully reversible nature, introduces no loss of historic fabric, and reflects a traditional and sympathetic design appropriate to a historic public house. The proposed swan</w:t>
      </w:r>
      <w:r w:rsidR="00783E82" w:rsidRPr="00783E82">
        <w:rPr>
          <w:rFonts w:ascii="Arial" w:hAnsi="Arial" w:cs="Arial"/>
          <w:color w:val="000000" w:themeColor="text1"/>
          <w:sz w:val="22"/>
          <w:szCs w:val="22"/>
        </w:rPr>
        <w:noBreakHyphen/>
        <w:t>neck lighting, while requiring fixings to the building, similarly avoids harm: it would not obscure or erode fabric</w:t>
      </w:r>
      <w:r w:rsidR="00A55F84">
        <w:rPr>
          <w:rFonts w:ascii="Arial" w:hAnsi="Arial" w:cs="Arial"/>
          <w:color w:val="000000" w:themeColor="text1"/>
          <w:sz w:val="22"/>
          <w:szCs w:val="22"/>
        </w:rPr>
        <w:t xml:space="preserve"> and</w:t>
      </w:r>
      <w:r w:rsidR="00783E82" w:rsidRPr="00783E82">
        <w:rPr>
          <w:rFonts w:ascii="Arial" w:hAnsi="Arial" w:cs="Arial"/>
          <w:color w:val="000000" w:themeColor="text1"/>
          <w:sz w:val="22"/>
          <w:szCs w:val="22"/>
        </w:rPr>
        <w:t xml:space="preserve"> is of a form and material commonly accepted in historic contexts</w:t>
      </w:r>
    </w:p>
    <w:p w14:paraId="4B7D0E38" w14:textId="77777777" w:rsidR="00B94B02" w:rsidRPr="00783E82" w:rsidRDefault="00B94B02" w:rsidP="00783E82">
      <w:pPr>
        <w:spacing w:line="276" w:lineRule="auto"/>
        <w:jc w:val="both"/>
        <w:rPr>
          <w:rFonts w:ascii="Arial" w:hAnsi="Arial" w:cs="Arial"/>
          <w:color w:val="000000" w:themeColor="text1"/>
          <w:sz w:val="22"/>
          <w:szCs w:val="22"/>
        </w:rPr>
      </w:pPr>
    </w:p>
    <w:p w14:paraId="3095A030" w14:textId="61B3D256" w:rsidR="00783E82" w:rsidRDefault="00783E82" w:rsidP="00783E82">
      <w:pPr>
        <w:spacing w:line="276" w:lineRule="auto"/>
        <w:jc w:val="both"/>
        <w:rPr>
          <w:rFonts w:ascii="Arial" w:hAnsi="Arial" w:cs="Arial"/>
          <w:color w:val="000000" w:themeColor="text1"/>
          <w:sz w:val="22"/>
          <w:szCs w:val="22"/>
        </w:rPr>
      </w:pPr>
      <w:r w:rsidRPr="00783E82">
        <w:rPr>
          <w:rFonts w:ascii="Arial" w:hAnsi="Arial" w:cs="Arial"/>
          <w:color w:val="000000" w:themeColor="text1"/>
          <w:sz w:val="22"/>
          <w:szCs w:val="22"/>
        </w:rPr>
        <w:t xml:space="preserve">Notwithstanding this conclusion, and in recognition of the concerns raised by the Conservation Officer, if one were to adopt a more precautionary position and conclude that the works cause less than substantial harm (NPPF 208), such harm would be at the very lowest end of the scale. In such circumstances, the public benefits — including the improved legibility and identification of the </w:t>
      </w:r>
      <w:r w:rsidR="00130858" w:rsidRPr="00783E82">
        <w:rPr>
          <w:rFonts w:ascii="Arial" w:hAnsi="Arial" w:cs="Arial"/>
          <w:color w:val="000000" w:themeColor="text1"/>
          <w:sz w:val="22"/>
          <w:szCs w:val="22"/>
        </w:rPr>
        <w:t>public house</w:t>
      </w:r>
      <w:r w:rsidRPr="00783E82">
        <w:rPr>
          <w:rFonts w:ascii="Arial" w:hAnsi="Arial" w:cs="Arial"/>
          <w:color w:val="000000" w:themeColor="text1"/>
          <w:sz w:val="22"/>
          <w:szCs w:val="22"/>
        </w:rPr>
        <w:t>, and support for its ongoing community function — would clearly and demonstrably outweigh any such harm.</w:t>
      </w:r>
    </w:p>
    <w:p w14:paraId="30296330" w14:textId="77777777" w:rsidR="00783E82" w:rsidRPr="009A4915" w:rsidRDefault="00783E82" w:rsidP="006C7EF7">
      <w:pPr>
        <w:spacing w:line="276" w:lineRule="auto"/>
        <w:jc w:val="both"/>
        <w:rPr>
          <w:rFonts w:ascii="Arial" w:hAnsi="Arial" w:cs="Arial"/>
          <w:color w:val="000000" w:themeColor="text1"/>
          <w:sz w:val="22"/>
          <w:szCs w:val="22"/>
        </w:rPr>
      </w:pPr>
    </w:p>
    <w:p w14:paraId="18152A0A" w14:textId="13501989" w:rsidR="006C7EF7" w:rsidRDefault="006C7EF7" w:rsidP="006C7EF7">
      <w:pPr>
        <w:spacing w:line="276" w:lineRule="auto"/>
        <w:jc w:val="both"/>
        <w:rPr>
          <w:rFonts w:ascii="Arial" w:hAnsi="Arial" w:cs="Arial"/>
          <w:color w:val="000000" w:themeColor="text1"/>
          <w:sz w:val="22"/>
          <w:szCs w:val="22"/>
        </w:rPr>
      </w:pPr>
      <w:r w:rsidRPr="009A4915">
        <w:rPr>
          <w:rFonts w:ascii="Arial" w:hAnsi="Arial" w:cs="Arial"/>
          <w:color w:val="000000" w:themeColor="text1"/>
          <w:sz w:val="22"/>
          <w:szCs w:val="22"/>
        </w:rPr>
        <w:t>Taking the above into account, the proposed signage is considered to preserve the special interest of the listed building</w:t>
      </w:r>
      <w:r w:rsidR="00A55F84">
        <w:rPr>
          <w:rFonts w:ascii="Arial" w:hAnsi="Arial" w:cs="Arial"/>
          <w:color w:val="000000" w:themeColor="text1"/>
          <w:sz w:val="22"/>
          <w:szCs w:val="22"/>
        </w:rPr>
        <w:t xml:space="preserve"> and</w:t>
      </w:r>
      <w:r w:rsidRPr="009A4915">
        <w:rPr>
          <w:rFonts w:ascii="Arial" w:hAnsi="Arial" w:cs="Arial"/>
          <w:color w:val="000000" w:themeColor="text1"/>
          <w:sz w:val="22"/>
          <w:szCs w:val="22"/>
        </w:rPr>
        <w:t xml:space="preserve"> its group value with adjacent heritage assets</w:t>
      </w:r>
      <w:r w:rsidR="00A55F84">
        <w:rPr>
          <w:rFonts w:ascii="Arial" w:hAnsi="Arial" w:cs="Arial"/>
          <w:color w:val="000000" w:themeColor="text1"/>
          <w:sz w:val="22"/>
          <w:szCs w:val="22"/>
        </w:rPr>
        <w:t xml:space="preserve">. </w:t>
      </w:r>
      <w:proofErr w:type="spellStart"/>
      <w:r w:rsidRPr="009A4915">
        <w:rPr>
          <w:rFonts w:ascii="Arial" w:hAnsi="Arial" w:cs="Arial"/>
          <w:color w:val="000000" w:themeColor="text1"/>
          <w:sz w:val="22"/>
          <w:szCs w:val="22"/>
        </w:rPr>
        <w:t>As</w:t>
      </w:r>
      <w:proofErr w:type="spellEnd"/>
      <w:r w:rsidRPr="009A4915">
        <w:rPr>
          <w:rFonts w:ascii="Arial" w:hAnsi="Arial" w:cs="Arial"/>
          <w:color w:val="000000" w:themeColor="text1"/>
          <w:sz w:val="22"/>
          <w:szCs w:val="22"/>
        </w:rPr>
        <w:t xml:space="preserve"> such, the works are considered acceptable in heritage terms and compliant with the statutory duties under the 1990 Act.</w:t>
      </w:r>
    </w:p>
    <w:p w14:paraId="7EFA8AFC" w14:textId="77777777" w:rsidR="006C7EF7" w:rsidRDefault="006C7EF7" w:rsidP="006C7EF7">
      <w:pPr>
        <w:spacing w:line="276" w:lineRule="auto"/>
        <w:jc w:val="both"/>
        <w:rPr>
          <w:rFonts w:ascii="Arial" w:hAnsi="Arial" w:cs="Arial"/>
          <w:color w:val="000000" w:themeColor="text1"/>
          <w:sz w:val="22"/>
          <w:szCs w:val="22"/>
        </w:rPr>
      </w:pPr>
    </w:p>
    <w:p w14:paraId="6CB2DF14" w14:textId="02F06B00" w:rsidR="006C7EF7" w:rsidRPr="00075C07" w:rsidRDefault="006C7EF7" w:rsidP="006C7EF7">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w:t>
      </w:r>
      <w:r>
        <w:rPr>
          <w:rFonts w:ascii="Arial" w:hAnsi="Arial" w:cs="Arial"/>
          <w:color w:val="000000" w:themeColor="text1"/>
          <w:sz w:val="22"/>
          <w:szCs w:val="22"/>
        </w:rPr>
        <w:t xml:space="preserve"> and 58</w:t>
      </w:r>
      <w:r w:rsidRPr="00075C07">
        <w:rPr>
          <w:rFonts w:ascii="Arial" w:hAnsi="Arial" w:cs="Arial"/>
          <w:color w:val="000000" w:themeColor="text1"/>
          <w:sz w:val="22"/>
          <w:szCs w:val="22"/>
        </w:rPr>
        <w:t xml:space="preserve"> of the Wiltshire Core Strategy</w:t>
      </w:r>
      <w:r>
        <w:rPr>
          <w:rFonts w:ascii="Arial" w:hAnsi="Arial" w:cs="Arial"/>
          <w:color w:val="000000" w:themeColor="text1"/>
          <w:sz w:val="22"/>
          <w:szCs w:val="22"/>
        </w:rPr>
        <w:t xml:space="preserve"> and </w:t>
      </w:r>
      <w:r w:rsidRPr="00BA513F">
        <w:rPr>
          <w:rFonts w:ascii="Arial" w:hAnsi="Arial" w:cs="Arial"/>
          <w:color w:val="000000" w:themeColor="text1"/>
          <w:sz w:val="22"/>
          <w:szCs w:val="22"/>
        </w:rPr>
        <w:t>Section 16 of the Planning (Listed Buildings and Conservation Areas) Act 1990</w:t>
      </w:r>
      <w:r>
        <w:rPr>
          <w:rFonts w:ascii="Arial" w:hAnsi="Arial" w:cs="Arial"/>
          <w:color w:val="000000" w:themeColor="text1"/>
          <w:sz w:val="22"/>
          <w:szCs w:val="22"/>
        </w:rPr>
        <w:t>.</w:t>
      </w:r>
    </w:p>
    <w:p w14:paraId="1F334311" w14:textId="77777777" w:rsidR="00660DCD" w:rsidRDefault="00660DCD" w:rsidP="004A432D">
      <w:pPr>
        <w:spacing w:line="276" w:lineRule="auto"/>
        <w:jc w:val="both"/>
        <w:rPr>
          <w:rFonts w:ascii="Arial" w:hAnsi="Arial" w:cs="Arial"/>
          <w:color w:val="000000" w:themeColor="text1"/>
          <w:sz w:val="22"/>
          <w:szCs w:val="22"/>
        </w:rPr>
      </w:pPr>
    </w:p>
    <w:p w14:paraId="55176049" w14:textId="77777777" w:rsidR="00E2394E" w:rsidRDefault="00E2394E" w:rsidP="00E2394E">
      <w:pPr>
        <w:spacing w:line="276" w:lineRule="auto"/>
        <w:jc w:val="both"/>
        <w:rPr>
          <w:rFonts w:ascii="Arial" w:hAnsi="Arial" w:cs="Arial"/>
          <w:sz w:val="22"/>
          <w:szCs w:val="22"/>
        </w:rPr>
      </w:pPr>
      <w:r w:rsidRPr="001A6538">
        <w:rPr>
          <w:rFonts w:ascii="Arial" w:hAnsi="Arial" w:cs="Arial"/>
          <w:noProof/>
          <w:sz w:val="22"/>
          <w:szCs w:val="22"/>
        </w:rPr>
        <w:drawing>
          <wp:inline distT="0" distB="0" distL="0" distR="0" wp14:anchorId="6880D173" wp14:editId="32F15C0D">
            <wp:extent cx="6332220" cy="2764155"/>
            <wp:effectExtent l="0" t="0" r="0" b="0"/>
            <wp:docPr id="2122273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273334" name=""/>
                    <pic:cNvPicPr/>
                  </pic:nvPicPr>
                  <pic:blipFill rotWithShape="1">
                    <a:blip r:embed="rId6"/>
                    <a:srcRect t="8799"/>
                    <a:stretch>
                      <a:fillRect/>
                    </a:stretch>
                  </pic:blipFill>
                  <pic:spPr bwMode="auto">
                    <a:xfrm>
                      <a:off x="0" y="0"/>
                      <a:ext cx="6332220" cy="2764155"/>
                    </a:xfrm>
                    <a:prstGeom prst="rect">
                      <a:avLst/>
                    </a:prstGeom>
                    <a:ln>
                      <a:noFill/>
                    </a:ln>
                    <a:extLst>
                      <a:ext uri="{53640926-AAD7-44D8-BBD7-CCE9431645EC}">
                        <a14:shadowObscured xmlns:a14="http://schemas.microsoft.com/office/drawing/2010/main"/>
                      </a:ext>
                    </a:extLst>
                  </pic:spPr>
                </pic:pic>
              </a:graphicData>
            </a:graphic>
          </wp:inline>
        </w:drawing>
      </w:r>
    </w:p>
    <w:p w14:paraId="7CD5A5A2" w14:textId="77777777" w:rsidR="00E2394E" w:rsidRDefault="00E2394E" w:rsidP="00E2394E">
      <w:pPr>
        <w:spacing w:line="276" w:lineRule="auto"/>
        <w:jc w:val="center"/>
        <w:rPr>
          <w:rFonts w:ascii="Arial" w:hAnsi="Arial" w:cs="Arial"/>
          <w:i/>
          <w:iCs/>
          <w:sz w:val="22"/>
          <w:szCs w:val="22"/>
        </w:rPr>
      </w:pPr>
      <w:r w:rsidRPr="00495FAF">
        <w:rPr>
          <w:rFonts w:ascii="Arial" w:hAnsi="Arial" w:cs="Arial"/>
          <w:i/>
          <w:iCs/>
          <w:sz w:val="22"/>
          <w:szCs w:val="22"/>
        </w:rPr>
        <w:t>Site Visit Frome Road Signage</w:t>
      </w:r>
    </w:p>
    <w:p w14:paraId="2B40453E" w14:textId="77777777" w:rsidR="00E2394E" w:rsidRDefault="00E2394E" w:rsidP="00E2394E">
      <w:pPr>
        <w:spacing w:line="276" w:lineRule="auto"/>
        <w:jc w:val="center"/>
        <w:rPr>
          <w:rFonts w:ascii="Arial" w:hAnsi="Arial" w:cs="Arial"/>
          <w:i/>
          <w:iCs/>
          <w:sz w:val="22"/>
          <w:szCs w:val="22"/>
        </w:rPr>
      </w:pPr>
    </w:p>
    <w:p w14:paraId="5BAD2C12" w14:textId="77777777" w:rsidR="00E2394E" w:rsidRDefault="00E2394E" w:rsidP="00E2394E">
      <w:pPr>
        <w:spacing w:line="276" w:lineRule="auto"/>
        <w:rPr>
          <w:rFonts w:ascii="Arial" w:hAnsi="Arial" w:cs="Arial"/>
          <w:i/>
          <w:iCs/>
          <w:sz w:val="22"/>
          <w:szCs w:val="22"/>
        </w:rPr>
      </w:pPr>
      <w:r w:rsidRPr="0089524C">
        <w:rPr>
          <w:rFonts w:ascii="Arial" w:hAnsi="Arial" w:cs="Arial"/>
          <w:i/>
          <w:iCs/>
          <w:noProof/>
          <w:sz w:val="22"/>
          <w:szCs w:val="22"/>
        </w:rPr>
        <w:drawing>
          <wp:inline distT="0" distB="0" distL="0" distR="0" wp14:anchorId="056CF8DF" wp14:editId="40943FB4">
            <wp:extent cx="6332220" cy="2327910"/>
            <wp:effectExtent l="0" t="0" r="0" b="0"/>
            <wp:docPr id="1852968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968476" name=""/>
                    <pic:cNvPicPr/>
                  </pic:nvPicPr>
                  <pic:blipFill>
                    <a:blip r:embed="rId7"/>
                    <a:stretch>
                      <a:fillRect/>
                    </a:stretch>
                  </pic:blipFill>
                  <pic:spPr>
                    <a:xfrm>
                      <a:off x="0" y="0"/>
                      <a:ext cx="6332220" cy="2327910"/>
                    </a:xfrm>
                    <a:prstGeom prst="rect">
                      <a:avLst/>
                    </a:prstGeom>
                  </pic:spPr>
                </pic:pic>
              </a:graphicData>
            </a:graphic>
          </wp:inline>
        </w:drawing>
      </w:r>
    </w:p>
    <w:p w14:paraId="1D80927F" w14:textId="77777777" w:rsidR="00E2394E" w:rsidRPr="00495FAF" w:rsidRDefault="00E2394E" w:rsidP="00E2394E">
      <w:pPr>
        <w:spacing w:line="276" w:lineRule="auto"/>
        <w:jc w:val="center"/>
        <w:rPr>
          <w:rFonts w:ascii="Arial" w:hAnsi="Arial" w:cs="Arial"/>
          <w:i/>
          <w:iCs/>
          <w:sz w:val="22"/>
          <w:szCs w:val="22"/>
        </w:rPr>
      </w:pPr>
      <w:r>
        <w:rPr>
          <w:rFonts w:ascii="Arial" w:hAnsi="Arial" w:cs="Arial"/>
          <w:i/>
          <w:iCs/>
          <w:sz w:val="22"/>
          <w:szCs w:val="22"/>
        </w:rPr>
        <w:t>Site Visit Station Approach Signage</w:t>
      </w:r>
    </w:p>
    <w:p w14:paraId="59162371" w14:textId="77777777" w:rsidR="00F55995" w:rsidRDefault="00F55995" w:rsidP="004A432D">
      <w:pPr>
        <w:spacing w:line="276" w:lineRule="auto"/>
        <w:jc w:val="both"/>
        <w:rPr>
          <w:rFonts w:ascii="Arial" w:hAnsi="Arial" w:cs="Arial"/>
          <w:color w:val="000000" w:themeColor="text1"/>
          <w:sz w:val="22"/>
          <w:szCs w:val="22"/>
        </w:rPr>
      </w:pPr>
    </w:p>
    <w:p w14:paraId="4483D3CA" w14:textId="77777777" w:rsidR="00A81081" w:rsidRDefault="00A81081" w:rsidP="00A81081">
      <w:pPr>
        <w:spacing w:line="276" w:lineRule="auto"/>
        <w:jc w:val="both"/>
        <w:rPr>
          <w:rFonts w:ascii="Arial" w:hAnsi="Arial" w:cs="Arial"/>
          <w:sz w:val="22"/>
          <w:szCs w:val="22"/>
        </w:rPr>
      </w:pPr>
      <w:r>
        <w:rPr>
          <w:rFonts w:ascii="Arial" w:hAnsi="Arial" w:cs="Arial"/>
          <w:noProof/>
          <w:sz w:val="22"/>
          <w:szCs w:val="22"/>
        </w:rPr>
        <w:drawing>
          <wp:inline distT="0" distB="0" distL="0" distR="0" wp14:anchorId="68E9A9AC" wp14:editId="671F2B16">
            <wp:extent cx="6324600" cy="2409825"/>
            <wp:effectExtent l="0" t="0" r="0" b="9525"/>
            <wp:docPr id="1002028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24600" cy="2409825"/>
                    </a:xfrm>
                    <a:prstGeom prst="rect">
                      <a:avLst/>
                    </a:prstGeom>
                    <a:noFill/>
                    <a:ln>
                      <a:noFill/>
                    </a:ln>
                  </pic:spPr>
                </pic:pic>
              </a:graphicData>
            </a:graphic>
          </wp:inline>
        </w:drawing>
      </w:r>
    </w:p>
    <w:p w14:paraId="1060B418" w14:textId="77777777" w:rsidR="00A81081" w:rsidRPr="00D326C3" w:rsidRDefault="00A81081" w:rsidP="00A81081">
      <w:pPr>
        <w:spacing w:line="276" w:lineRule="auto"/>
        <w:jc w:val="center"/>
        <w:rPr>
          <w:rFonts w:ascii="Arial" w:hAnsi="Arial" w:cs="Arial"/>
          <w:i/>
          <w:iCs/>
          <w:sz w:val="22"/>
          <w:szCs w:val="22"/>
        </w:rPr>
      </w:pPr>
      <w:r w:rsidRPr="00D326C3">
        <w:rPr>
          <w:rFonts w:ascii="Arial" w:hAnsi="Arial" w:cs="Arial"/>
          <w:i/>
          <w:iCs/>
          <w:sz w:val="22"/>
          <w:szCs w:val="22"/>
        </w:rPr>
        <w:t>Proposed Elevations</w:t>
      </w:r>
    </w:p>
    <w:p w14:paraId="299306FE" w14:textId="77777777" w:rsidR="00330FCB" w:rsidRDefault="00330FCB" w:rsidP="004A432D">
      <w:pPr>
        <w:spacing w:line="276" w:lineRule="auto"/>
        <w:rPr>
          <w:rFonts w:ascii="Arial" w:hAnsi="Arial" w:cs="Arial"/>
          <w:b/>
          <w:bCs/>
          <w:sz w:val="22"/>
          <w:szCs w:val="22"/>
        </w:rPr>
      </w:pPr>
    </w:p>
    <w:p w14:paraId="44A5EF01" w14:textId="77777777" w:rsidR="00070A76" w:rsidRDefault="00070A76" w:rsidP="00330FCB">
      <w:pPr>
        <w:spacing w:line="276" w:lineRule="auto"/>
        <w:rPr>
          <w:rFonts w:ascii="Arial" w:hAnsi="Arial" w:cs="Arial"/>
          <w:sz w:val="22"/>
          <w:szCs w:val="22"/>
        </w:rPr>
      </w:pPr>
    </w:p>
    <w:p w14:paraId="1DF036F0" w14:textId="77777777" w:rsidR="00652C47" w:rsidRDefault="00652C47" w:rsidP="00652C47">
      <w:pPr>
        <w:spacing w:line="276" w:lineRule="auto"/>
        <w:jc w:val="both"/>
        <w:rPr>
          <w:rFonts w:ascii="Arial" w:hAnsi="Arial" w:cs="Arial"/>
          <w:sz w:val="22"/>
          <w:szCs w:val="22"/>
          <w:u w:val="single"/>
        </w:rPr>
      </w:pPr>
      <w:r w:rsidRPr="00C86594">
        <w:rPr>
          <w:rFonts w:ascii="Arial" w:hAnsi="Arial" w:cs="Arial"/>
          <w:sz w:val="22"/>
          <w:szCs w:val="22"/>
          <w:u w:val="single"/>
        </w:rPr>
        <w:t>Other matters</w:t>
      </w:r>
    </w:p>
    <w:p w14:paraId="4C28C2A7" w14:textId="77777777" w:rsidR="00652C47" w:rsidRPr="00C86594" w:rsidRDefault="00652C47" w:rsidP="00652C47">
      <w:pPr>
        <w:spacing w:line="276" w:lineRule="auto"/>
        <w:jc w:val="both"/>
        <w:rPr>
          <w:rFonts w:ascii="Arial" w:hAnsi="Arial" w:cs="Arial"/>
          <w:sz w:val="22"/>
          <w:szCs w:val="22"/>
          <w:u w:val="single"/>
        </w:rPr>
      </w:pPr>
    </w:p>
    <w:p w14:paraId="23786729" w14:textId="77777777" w:rsidR="00652C47" w:rsidRDefault="00652C47" w:rsidP="00652C47">
      <w:pPr>
        <w:spacing w:line="276" w:lineRule="auto"/>
        <w:jc w:val="both"/>
        <w:rPr>
          <w:rFonts w:ascii="Arial" w:hAnsi="Arial" w:cs="Arial"/>
          <w:sz w:val="22"/>
          <w:szCs w:val="22"/>
        </w:rPr>
      </w:pPr>
      <w:r>
        <w:rPr>
          <w:rFonts w:ascii="Arial" w:hAnsi="Arial" w:cs="Arial"/>
          <w:sz w:val="22"/>
          <w:szCs w:val="22"/>
        </w:rPr>
        <w:t xml:space="preserve">Several comments were provided by the Conservation Officer which require addressing further. This section of the report will cover each point respectively. </w:t>
      </w:r>
    </w:p>
    <w:p w14:paraId="5D1A5ECB" w14:textId="77777777" w:rsidR="00652C47" w:rsidRDefault="00652C47" w:rsidP="00652C47">
      <w:pPr>
        <w:spacing w:line="276" w:lineRule="auto"/>
        <w:jc w:val="both"/>
        <w:rPr>
          <w:rFonts w:ascii="Arial" w:hAnsi="Arial" w:cs="Arial"/>
          <w:sz w:val="22"/>
          <w:szCs w:val="22"/>
        </w:rPr>
      </w:pPr>
    </w:p>
    <w:p w14:paraId="57B375D9" w14:textId="77777777" w:rsidR="00652C47" w:rsidRPr="00847A61" w:rsidRDefault="00652C47" w:rsidP="00652C47">
      <w:pPr>
        <w:spacing w:line="276" w:lineRule="auto"/>
        <w:jc w:val="both"/>
        <w:rPr>
          <w:rFonts w:ascii="Arial" w:hAnsi="Arial" w:cs="Arial"/>
          <w:sz w:val="22"/>
          <w:szCs w:val="22"/>
        </w:rPr>
      </w:pPr>
      <w:r w:rsidRPr="00F425B2">
        <w:rPr>
          <w:rFonts w:ascii="Arial" w:hAnsi="Arial" w:cs="Arial"/>
          <w:sz w:val="22"/>
          <w:szCs w:val="22"/>
        </w:rPr>
        <w:t>The Conservation Officer has identified what they believe to be unauthorised CCTV cameras, door</w:t>
      </w:r>
      <w:r w:rsidRPr="00F425B2">
        <w:rPr>
          <w:rFonts w:ascii="Cambria Math" w:hAnsi="Cambria Math" w:cs="Cambria Math"/>
          <w:sz w:val="22"/>
          <w:szCs w:val="22"/>
        </w:rPr>
        <w:t>‑</w:t>
      </w:r>
      <w:r w:rsidRPr="00F425B2">
        <w:rPr>
          <w:rFonts w:ascii="Arial" w:hAnsi="Arial" w:cs="Arial"/>
          <w:sz w:val="22"/>
          <w:szCs w:val="22"/>
        </w:rPr>
        <w:t>mounted signage and lantern lights on the building and has requested clarification on these items; however, these elements do not form part of the current applications and cannot be brought into their scope, as the Planning (Listed Buildings and Conservation Areas) Act 1990 requires the authority to assess only the works specifically applied for, with any unrelated alterations instead falling under separate enforcement powers. Accordingly, this application can only consider the proposed new signage and lighting, and any potentially unauthorised fixtures noted by the Officer would need to be addressed independently through the Council’s enforcement process.</w:t>
      </w:r>
      <w:r w:rsidRPr="00847A61">
        <w:rPr>
          <w:rFonts w:ascii="Segoe UI" w:hAnsi="Segoe UI" w:cs="Segoe UI"/>
          <w:sz w:val="21"/>
          <w:szCs w:val="21"/>
        </w:rPr>
        <w:t xml:space="preserve"> </w:t>
      </w:r>
      <w:r w:rsidRPr="00847A61">
        <w:rPr>
          <w:rFonts w:ascii="Arial" w:hAnsi="Arial" w:cs="Arial"/>
          <w:sz w:val="22"/>
          <w:szCs w:val="22"/>
        </w:rPr>
        <w:t>The Conservation Officer has also sought clarification regarding other existing signage and whether it is intended to be removed; however, as these elements do not form part of the current applications, they are not material to the assessment and fall outside the scope of what can be considered, with only the proposed development before the Council forming the basis of determination.</w:t>
      </w:r>
    </w:p>
    <w:p w14:paraId="1ABCF973" w14:textId="77777777" w:rsidR="00652C47" w:rsidRDefault="00652C47" w:rsidP="00652C47">
      <w:pPr>
        <w:spacing w:line="276" w:lineRule="auto"/>
        <w:jc w:val="both"/>
        <w:rPr>
          <w:rFonts w:ascii="Arial" w:hAnsi="Arial" w:cs="Arial"/>
          <w:sz w:val="22"/>
          <w:szCs w:val="22"/>
        </w:rPr>
      </w:pPr>
    </w:p>
    <w:p w14:paraId="5EBA6EAB" w14:textId="77777777" w:rsidR="00652C47" w:rsidRDefault="00652C47" w:rsidP="00652C47">
      <w:pPr>
        <w:spacing w:line="276" w:lineRule="auto"/>
        <w:jc w:val="both"/>
        <w:rPr>
          <w:rFonts w:ascii="Arial" w:hAnsi="Arial" w:cs="Arial"/>
          <w:sz w:val="22"/>
          <w:szCs w:val="22"/>
        </w:rPr>
      </w:pPr>
      <w:r w:rsidRPr="005F67E7">
        <w:rPr>
          <w:rFonts w:ascii="Arial" w:hAnsi="Arial" w:cs="Arial"/>
          <w:sz w:val="22"/>
          <w:szCs w:val="22"/>
        </w:rPr>
        <w:t>The Conservation Officer has</w:t>
      </w:r>
      <w:r>
        <w:rPr>
          <w:rFonts w:ascii="Arial" w:hAnsi="Arial" w:cs="Arial"/>
          <w:sz w:val="22"/>
          <w:szCs w:val="22"/>
        </w:rPr>
        <w:t xml:space="preserve"> also</w:t>
      </w:r>
      <w:r w:rsidRPr="005F67E7">
        <w:rPr>
          <w:rFonts w:ascii="Arial" w:hAnsi="Arial" w:cs="Arial"/>
          <w:sz w:val="22"/>
          <w:szCs w:val="22"/>
        </w:rPr>
        <w:t xml:space="preserve"> noted minor discrepancies between the elevation drawings and the signage as it exists on site, including differences in colour, some lettering, and slight variations in scale; however, </w:t>
      </w:r>
      <w:r>
        <w:rPr>
          <w:rFonts w:ascii="Arial" w:hAnsi="Arial" w:cs="Arial"/>
          <w:sz w:val="22"/>
          <w:szCs w:val="22"/>
        </w:rPr>
        <w:t xml:space="preserve">the </w:t>
      </w:r>
      <w:r w:rsidRPr="005F67E7">
        <w:rPr>
          <w:rFonts w:ascii="Arial" w:hAnsi="Arial" w:cs="Arial"/>
          <w:sz w:val="22"/>
          <w:szCs w:val="22"/>
        </w:rPr>
        <w:t>a</w:t>
      </w:r>
      <w:r>
        <w:rPr>
          <w:rFonts w:ascii="Arial" w:hAnsi="Arial" w:cs="Arial"/>
          <w:sz w:val="22"/>
          <w:szCs w:val="22"/>
        </w:rPr>
        <w:t>pplication is</w:t>
      </w:r>
      <w:r w:rsidRPr="005F67E7">
        <w:rPr>
          <w:rFonts w:ascii="Arial" w:hAnsi="Arial" w:cs="Arial"/>
          <w:sz w:val="22"/>
          <w:szCs w:val="22"/>
        </w:rPr>
        <w:t xml:space="preserve"> retrospective</w:t>
      </w:r>
      <w:r>
        <w:rPr>
          <w:rFonts w:ascii="Arial" w:hAnsi="Arial" w:cs="Arial"/>
          <w:sz w:val="22"/>
          <w:szCs w:val="22"/>
        </w:rPr>
        <w:t xml:space="preserve"> in nature</w:t>
      </w:r>
      <w:r w:rsidRPr="005F67E7">
        <w:rPr>
          <w:rFonts w:ascii="Arial" w:hAnsi="Arial" w:cs="Arial"/>
          <w:sz w:val="22"/>
          <w:szCs w:val="22"/>
        </w:rPr>
        <w:t xml:space="preserve">, </w:t>
      </w:r>
      <w:r>
        <w:rPr>
          <w:rFonts w:ascii="Arial" w:hAnsi="Arial" w:cs="Arial"/>
          <w:sz w:val="22"/>
          <w:szCs w:val="22"/>
        </w:rPr>
        <w:t>and</w:t>
      </w:r>
      <w:r w:rsidRPr="005F67E7">
        <w:rPr>
          <w:rFonts w:ascii="Arial" w:hAnsi="Arial" w:cs="Arial"/>
          <w:sz w:val="22"/>
          <w:szCs w:val="22"/>
        </w:rPr>
        <w:t xml:space="preserve"> the submitted material enables a proper understanding of the </w:t>
      </w:r>
      <w:proofErr w:type="gramStart"/>
      <w:r w:rsidRPr="005F67E7">
        <w:rPr>
          <w:rFonts w:ascii="Arial" w:hAnsi="Arial" w:cs="Arial"/>
          <w:sz w:val="22"/>
          <w:szCs w:val="22"/>
        </w:rPr>
        <w:t>development</w:t>
      </w:r>
      <w:r>
        <w:rPr>
          <w:rFonts w:ascii="Arial" w:hAnsi="Arial" w:cs="Arial"/>
          <w:sz w:val="22"/>
          <w:szCs w:val="22"/>
        </w:rPr>
        <w:t xml:space="preserve"> as a whole</w:t>
      </w:r>
      <w:proofErr w:type="gramEnd"/>
      <w:r w:rsidRPr="005F67E7">
        <w:rPr>
          <w:rFonts w:ascii="Arial" w:hAnsi="Arial" w:cs="Arial"/>
          <w:sz w:val="22"/>
          <w:szCs w:val="22"/>
        </w:rPr>
        <w:t>. National guidance confirms that retrospective applications are treated “in the usual way”, without any special requirement for revised drawings where the proposal is clear and its dimensions and siting are accurately represented. Furthermore, minor or de minimis discrepancies do not invalidate an application or require formal amendment; differences can lawfully be disregarded where they do not alter the substance of what is applied for. Given that the plans correctly show the size and position of the sign and that accompanying photographs clearly illustrate the as</w:t>
      </w:r>
      <w:r w:rsidRPr="005F67E7">
        <w:rPr>
          <w:rFonts w:ascii="Cambria Math" w:hAnsi="Cambria Math" w:cs="Cambria Math"/>
          <w:sz w:val="22"/>
          <w:szCs w:val="22"/>
        </w:rPr>
        <w:t>‑</w:t>
      </w:r>
      <w:r w:rsidRPr="005F67E7">
        <w:rPr>
          <w:rFonts w:ascii="Arial" w:hAnsi="Arial" w:cs="Arial"/>
          <w:sz w:val="22"/>
          <w:szCs w:val="22"/>
        </w:rPr>
        <w:t>installed details, it is considered that the application is sufficiently clear for determination without requiring revised drawings.</w:t>
      </w:r>
    </w:p>
    <w:p w14:paraId="663ED52C" w14:textId="77777777" w:rsidR="00652C47" w:rsidRDefault="00652C47" w:rsidP="00652C47">
      <w:pPr>
        <w:spacing w:line="276" w:lineRule="auto"/>
        <w:jc w:val="both"/>
        <w:rPr>
          <w:rFonts w:ascii="Arial" w:hAnsi="Arial" w:cs="Arial"/>
          <w:sz w:val="22"/>
          <w:szCs w:val="22"/>
        </w:rPr>
      </w:pPr>
    </w:p>
    <w:p w14:paraId="1384F811" w14:textId="6BD4A121" w:rsidR="00652C47" w:rsidRPr="00016595" w:rsidRDefault="00652C47" w:rsidP="00652C47">
      <w:pPr>
        <w:spacing w:line="276" w:lineRule="auto"/>
        <w:jc w:val="both"/>
        <w:rPr>
          <w:rFonts w:ascii="Arial" w:hAnsi="Arial" w:cs="Arial"/>
          <w:sz w:val="22"/>
          <w:szCs w:val="22"/>
        </w:rPr>
      </w:pPr>
      <w:r w:rsidRPr="00016595">
        <w:rPr>
          <w:rFonts w:ascii="Arial" w:hAnsi="Arial" w:cs="Arial"/>
          <w:sz w:val="22"/>
          <w:szCs w:val="22"/>
        </w:rPr>
        <w:t>The Conservation Officer has requested additional heritage</w:t>
      </w:r>
      <w:r w:rsidRPr="00016595">
        <w:rPr>
          <w:rFonts w:ascii="Arial" w:hAnsi="Arial" w:cs="Arial"/>
          <w:sz w:val="22"/>
          <w:szCs w:val="22"/>
        </w:rPr>
        <w:noBreakHyphen/>
        <w:t xml:space="preserve">impact information on the basis that the submitted Design &amp; Access Statement does not, in their view, fully address the requirements of NPPF paragraph 207, which requires applicants to describe the significance of any heritage assets affected to a level of detail proportionate to their importance and sufficient to understand the potential impact of the proposal. While this expectation is noted, the current application concerns only the installation of two new painted timber signs and associated lighting—works which do not involve permanent alteration to historic fabric, do not remove or damage any architectural features, and are of a scale and form consistent with commercial signage traditionally found on public houses. The proposed colours are sympathetic to the existing palette of the building as shown in the submitted DAS and photographs, and the signage does not materially detract from the character, appearance, or setting of the listed building when assessed against the proportionality guidance in Historic England Advice Note 12, which confirms that the level of heritage information required should be “no more than is sufficient” to understand the impact of the works. Given </w:t>
      </w:r>
      <w:r w:rsidR="00595D1C">
        <w:rPr>
          <w:rFonts w:ascii="Arial" w:hAnsi="Arial" w:cs="Arial"/>
          <w:sz w:val="22"/>
          <w:szCs w:val="22"/>
        </w:rPr>
        <w:t xml:space="preserve">the </w:t>
      </w:r>
      <w:r w:rsidR="00595D1C" w:rsidRPr="00595D1C">
        <w:rPr>
          <w:rFonts w:ascii="Arial" w:hAnsi="Arial" w:cs="Arial"/>
          <w:sz w:val="22"/>
          <w:szCs w:val="22"/>
        </w:rPr>
        <w:t>signage is reversible and non</w:t>
      </w:r>
      <w:r w:rsidR="00595D1C" w:rsidRPr="00595D1C">
        <w:rPr>
          <w:rFonts w:ascii="Arial" w:hAnsi="Arial" w:cs="Arial"/>
          <w:sz w:val="22"/>
          <w:szCs w:val="22"/>
        </w:rPr>
        <w:noBreakHyphen/>
        <w:t>permanent in its method of fixing</w:t>
      </w:r>
      <w:r w:rsidRPr="00016595">
        <w:rPr>
          <w:rFonts w:ascii="Arial" w:hAnsi="Arial" w:cs="Arial"/>
          <w:sz w:val="22"/>
          <w:szCs w:val="22"/>
        </w:rPr>
        <w:t>, and the clarity already provided through the submitted plans and photographic evidence</w:t>
      </w:r>
      <w:r w:rsidR="00A55F84">
        <w:rPr>
          <w:rFonts w:ascii="Arial" w:hAnsi="Arial" w:cs="Arial"/>
          <w:sz w:val="22"/>
          <w:szCs w:val="22"/>
        </w:rPr>
        <w:t xml:space="preserve"> of the existing signs.  As the only part of the proposal which is yet to be undertaken is </w:t>
      </w:r>
      <w:proofErr w:type="gramStart"/>
      <w:r w:rsidR="00A55F84">
        <w:rPr>
          <w:rFonts w:ascii="Arial" w:hAnsi="Arial" w:cs="Arial"/>
          <w:sz w:val="22"/>
          <w:szCs w:val="22"/>
        </w:rPr>
        <w:t>external  lighting</w:t>
      </w:r>
      <w:proofErr w:type="gramEnd"/>
      <w:r w:rsidR="00A55F84">
        <w:rPr>
          <w:rFonts w:ascii="Arial" w:hAnsi="Arial" w:cs="Arial"/>
          <w:sz w:val="22"/>
          <w:szCs w:val="22"/>
        </w:rPr>
        <w:t>, which is considered appropriate for the reasons set out above</w:t>
      </w:r>
      <w:r w:rsidRPr="00016595">
        <w:rPr>
          <w:rFonts w:ascii="Arial" w:hAnsi="Arial" w:cs="Arial"/>
          <w:sz w:val="22"/>
          <w:szCs w:val="22"/>
        </w:rPr>
        <w:t>, it is considered that requiring further historical or contextual information would not reasonably alter the assessment or lead to a different conclusion on heritage impact</w:t>
      </w:r>
    </w:p>
    <w:p w14:paraId="215B03F5" w14:textId="77777777" w:rsidR="00652C47" w:rsidRPr="00070A76" w:rsidRDefault="00652C47" w:rsidP="00330FCB">
      <w:pPr>
        <w:spacing w:line="276" w:lineRule="auto"/>
        <w:rPr>
          <w:rFonts w:ascii="Arial" w:hAnsi="Arial" w:cs="Arial"/>
          <w:sz w:val="22"/>
          <w:szCs w:val="22"/>
        </w:rPr>
      </w:pPr>
    </w:p>
    <w:p w14:paraId="08801352" w14:textId="77777777" w:rsidR="00330FCB" w:rsidRPr="00075C07" w:rsidRDefault="00330FCB" w:rsidP="00330FCB">
      <w:pPr>
        <w:spacing w:line="276" w:lineRule="auto"/>
        <w:rPr>
          <w:rFonts w:ascii="Arial" w:hAnsi="Arial" w:cs="Arial"/>
          <w:b/>
          <w:bCs/>
          <w:sz w:val="22"/>
          <w:szCs w:val="22"/>
        </w:rPr>
      </w:pPr>
      <w:r w:rsidRPr="00075C07">
        <w:rPr>
          <w:rFonts w:ascii="Arial" w:hAnsi="Arial" w:cs="Arial"/>
          <w:b/>
          <w:bCs/>
          <w:sz w:val="22"/>
          <w:szCs w:val="22"/>
        </w:rPr>
        <w:t>CONCLUSION</w:t>
      </w:r>
    </w:p>
    <w:p w14:paraId="3471EA7C" w14:textId="77777777" w:rsidR="00330FCB" w:rsidRPr="00075C07" w:rsidRDefault="00330FCB" w:rsidP="00330FCB">
      <w:pPr>
        <w:spacing w:line="276" w:lineRule="auto"/>
        <w:rPr>
          <w:rFonts w:ascii="Arial" w:hAnsi="Arial" w:cs="Arial"/>
          <w:sz w:val="22"/>
          <w:szCs w:val="22"/>
        </w:rPr>
      </w:pPr>
    </w:p>
    <w:p w14:paraId="7C574F30" w14:textId="38A88969" w:rsidR="00330FCB" w:rsidRDefault="009B681A" w:rsidP="00330FCB">
      <w:pPr>
        <w:spacing w:line="276" w:lineRule="auto"/>
        <w:jc w:val="both"/>
        <w:rPr>
          <w:rFonts w:ascii="Arial" w:hAnsi="Arial" w:cs="Arial"/>
          <w:color w:val="000000" w:themeColor="text1"/>
          <w:sz w:val="22"/>
          <w:szCs w:val="22"/>
        </w:rPr>
      </w:pPr>
      <w:r w:rsidRPr="009B681A">
        <w:rPr>
          <w:rFonts w:ascii="Arial" w:hAnsi="Arial" w:cs="Arial"/>
          <w:color w:val="000000" w:themeColor="text1"/>
          <w:sz w:val="22"/>
          <w:szCs w:val="22"/>
        </w:rPr>
        <w:t>The proposal is considered acceptable as it preserves the special architectural and historic interest of the Grade II listed buildin</w:t>
      </w:r>
      <w:r w:rsidR="00A55F84">
        <w:rPr>
          <w:rFonts w:ascii="Arial" w:hAnsi="Arial" w:cs="Arial"/>
          <w:color w:val="000000" w:themeColor="text1"/>
          <w:sz w:val="22"/>
          <w:szCs w:val="22"/>
        </w:rPr>
        <w:t>g</w:t>
      </w:r>
      <w:r w:rsidRPr="009B681A">
        <w:rPr>
          <w:rFonts w:ascii="Arial" w:hAnsi="Arial" w:cs="Arial"/>
          <w:color w:val="000000" w:themeColor="text1"/>
          <w:sz w:val="22"/>
          <w:szCs w:val="22"/>
        </w:rPr>
        <w:t>. The works accord with Section 16 of the Planning (Listed Buildings and Conservation Areas) Act 1990, Core Policies 57 and 58 of the Wiltshire Core Strategy, and the relevant heritage provisions of the National Planning Policy Framework. Listed Building Consent is therefore justified.</w:t>
      </w:r>
    </w:p>
    <w:p w14:paraId="35479832" w14:textId="77777777" w:rsidR="009B681A" w:rsidRPr="00075C07" w:rsidRDefault="009B681A" w:rsidP="00330FCB">
      <w:pPr>
        <w:spacing w:line="276" w:lineRule="auto"/>
        <w:jc w:val="both"/>
        <w:rPr>
          <w:rFonts w:ascii="Arial" w:hAnsi="Arial" w:cs="Arial"/>
          <w:color w:val="FF0000"/>
          <w:sz w:val="22"/>
          <w:szCs w:val="22"/>
        </w:rPr>
      </w:pPr>
    </w:p>
    <w:p w14:paraId="71116332" w14:textId="77777777" w:rsidR="00123898" w:rsidRDefault="00330FCB" w:rsidP="00330FCB">
      <w:pPr>
        <w:spacing w:line="276" w:lineRule="auto"/>
        <w:jc w:val="both"/>
        <w:rPr>
          <w:rFonts w:ascii="Arial" w:hAnsi="Arial" w:cs="Arial"/>
          <w:b/>
          <w:bCs/>
          <w:sz w:val="22"/>
          <w:szCs w:val="22"/>
        </w:rPr>
      </w:pPr>
      <w:r w:rsidRPr="00D75D30">
        <w:rPr>
          <w:rFonts w:ascii="Arial" w:hAnsi="Arial" w:cs="Arial"/>
          <w:b/>
          <w:bCs/>
          <w:sz w:val="22"/>
          <w:szCs w:val="22"/>
        </w:rPr>
        <w:t xml:space="preserve">RECOMMENDATION  </w:t>
      </w:r>
    </w:p>
    <w:p w14:paraId="295C22B8" w14:textId="77777777" w:rsidR="00B72711" w:rsidRDefault="00B72711" w:rsidP="00330FCB">
      <w:pPr>
        <w:spacing w:line="276" w:lineRule="auto"/>
        <w:jc w:val="both"/>
        <w:rPr>
          <w:rFonts w:ascii="Arial" w:hAnsi="Arial" w:cs="Arial"/>
          <w:sz w:val="22"/>
          <w:szCs w:val="22"/>
        </w:rPr>
      </w:pPr>
    </w:p>
    <w:p w14:paraId="3C85D1C2" w14:textId="70C0A3E3" w:rsidR="00330FCB" w:rsidRPr="00D75D30" w:rsidRDefault="00330FCB" w:rsidP="00330FCB">
      <w:pPr>
        <w:spacing w:line="276" w:lineRule="auto"/>
        <w:jc w:val="both"/>
        <w:rPr>
          <w:rFonts w:ascii="Arial" w:hAnsi="Arial" w:cs="Arial"/>
          <w:b/>
          <w:bCs/>
          <w:sz w:val="22"/>
          <w:szCs w:val="22"/>
        </w:rPr>
      </w:pPr>
      <w:r w:rsidRPr="00123898">
        <w:rPr>
          <w:rFonts w:ascii="Arial" w:hAnsi="Arial" w:cs="Arial"/>
          <w:sz w:val="22"/>
          <w:szCs w:val="22"/>
        </w:rPr>
        <w:t>That listed building consent be</w:t>
      </w:r>
      <w:r w:rsidRPr="00D75D30">
        <w:rPr>
          <w:rFonts w:ascii="Arial" w:hAnsi="Arial" w:cs="Arial"/>
          <w:b/>
          <w:bCs/>
          <w:sz w:val="22"/>
          <w:szCs w:val="22"/>
        </w:rPr>
        <w:t xml:space="preserve"> GRANTED </w:t>
      </w:r>
      <w:r w:rsidRPr="00123898">
        <w:rPr>
          <w:rFonts w:ascii="Arial" w:hAnsi="Arial" w:cs="Arial"/>
          <w:sz w:val="22"/>
          <w:szCs w:val="22"/>
        </w:rPr>
        <w:t>subject to the following conditions:</w:t>
      </w:r>
    </w:p>
    <w:p w14:paraId="74CCD9EA" w14:textId="77777777" w:rsidR="00330FCB" w:rsidRDefault="00330FCB" w:rsidP="00330FCB">
      <w:pPr>
        <w:spacing w:line="276" w:lineRule="auto"/>
        <w:jc w:val="both"/>
        <w:rPr>
          <w:rFonts w:ascii="Arial" w:hAnsi="Arial" w:cs="Arial"/>
          <w:sz w:val="22"/>
          <w:szCs w:val="22"/>
        </w:rPr>
      </w:pPr>
    </w:p>
    <w:p w14:paraId="31582508" w14:textId="4237C656" w:rsidR="00B72711" w:rsidRPr="00B72711" w:rsidRDefault="00B72711" w:rsidP="00330FCB">
      <w:pPr>
        <w:spacing w:line="276" w:lineRule="auto"/>
        <w:jc w:val="both"/>
        <w:rPr>
          <w:rFonts w:ascii="Arial" w:hAnsi="Arial" w:cs="Arial"/>
          <w:b/>
          <w:bCs/>
          <w:sz w:val="22"/>
          <w:szCs w:val="22"/>
        </w:rPr>
      </w:pPr>
      <w:r w:rsidRPr="00B72711">
        <w:rPr>
          <w:rFonts w:ascii="Arial" w:hAnsi="Arial" w:cs="Arial"/>
          <w:b/>
          <w:bCs/>
          <w:sz w:val="22"/>
          <w:szCs w:val="22"/>
        </w:rPr>
        <w:t>CONDITIONS</w:t>
      </w:r>
    </w:p>
    <w:p w14:paraId="6D7009A6" w14:textId="77777777" w:rsidR="00B72711" w:rsidRDefault="00B72711" w:rsidP="00330FCB">
      <w:pPr>
        <w:spacing w:line="276" w:lineRule="auto"/>
        <w:jc w:val="both"/>
        <w:rPr>
          <w:rFonts w:ascii="Arial" w:hAnsi="Arial" w:cs="Arial"/>
          <w:sz w:val="22"/>
          <w:szCs w:val="22"/>
        </w:rPr>
      </w:pPr>
    </w:p>
    <w:p w14:paraId="71D0C90F" w14:textId="77777777" w:rsidR="00330FCB" w:rsidRPr="00075C07" w:rsidRDefault="00330FCB" w:rsidP="00330FCB">
      <w:pPr>
        <w:spacing w:line="276" w:lineRule="auto"/>
        <w:jc w:val="both"/>
        <w:rPr>
          <w:rFonts w:ascii="Arial" w:hAnsi="Arial" w:cs="Arial"/>
          <w:sz w:val="22"/>
          <w:szCs w:val="22"/>
        </w:rPr>
      </w:pPr>
      <w:r>
        <w:rPr>
          <w:rFonts w:ascii="Arial" w:hAnsi="Arial" w:cs="Arial"/>
          <w:sz w:val="22"/>
          <w:szCs w:val="22"/>
        </w:rPr>
        <w:t>1.</w:t>
      </w:r>
    </w:p>
    <w:p w14:paraId="71BE49BE" w14:textId="77777777" w:rsidR="00330FCB" w:rsidRDefault="00330FCB" w:rsidP="00330FCB">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w:t>
      </w:r>
      <w:r>
        <w:rPr>
          <w:rFonts w:ascii="Arial" w:hAnsi="Arial" w:cs="Arial"/>
          <w:color w:val="000000" w:themeColor="text1"/>
          <w:sz w:val="22"/>
          <w:szCs w:val="22"/>
        </w:rPr>
        <w:t>works for which Listed Building Consent is hereby granted shall be begun before the expiration of three years from the date of this consent.</w:t>
      </w:r>
    </w:p>
    <w:p w14:paraId="2C20039F" w14:textId="77777777" w:rsidR="00330FCB" w:rsidRDefault="00330FCB" w:rsidP="00330FCB">
      <w:pPr>
        <w:spacing w:line="276" w:lineRule="auto"/>
        <w:jc w:val="both"/>
        <w:rPr>
          <w:rFonts w:ascii="Arial" w:hAnsi="Arial" w:cs="Arial"/>
          <w:color w:val="000000" w:themeColor="text1"/>
          <w:sz w:val="22"/>
          <w:szCs w:val="22"/>
        </w:rPr>
      </w:pPr>
    </w:p>
    <w:p w14:paraId="6337BF81" w14:textId="77777777" w:rsidR="00330FCB" w:rsidRPr="00075C07" w:rsidRDefault="00330FCB" w:rsidP="00330FC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REASON: To comply with the provisions of Section 18 of the Planning (Listed Building and Conservation Areas) Act 1990 as amended by the Planning and Compulsory Purchase Act 2004.</w:t>
      </w:r>
    </w:p>
    <w:p w14:paraId="6CBAA269" w14:textId="77777777" w:rsidR="00330FCB" w:rsidRPr="00075C07" w:rsidRDefault="00330FCB" w:rsidP="00330FCB">
      <w:pPr>
        <w:tabs>
          <w:tab w:val="num" w:pos="567"/>
        </w:tabs>
        <w:spacing w:line="276" w:lineRule="auto"/>
        <w:ind w:left="567" w:hanging="567"/>
        <w:jc w:val="both"/>
        <w:rPr>
          <w:rFonts w:ascii="Arial" w:hAnsi="Arial" w:cs="Arial"/>
          <w:color w:val="000000" w:themeColor="text1"/>
          <w:sz w:val="22"/>
          <w:szCs w:val="22"/>
        </w:rPr>
      </w:pPr>
    </w:p>
    <w:p w14:paraId="444A26F6" w14:textId="77777777" w:rsidR="00431585" w:rsidRDefault="00431585" w:rsidP="00431585">
      <w:pPr>
        <w:tabs>
          <w:tab w:val="left" w:pos="567"/>
        </w:tabs>
        <w:spacing w:line="276" w:lineRule="auto"/>
        <w:jc w:val="both"/>
        <w:rPr>
          <w:rFonts w:ascii="Arial" w:eastAsia="Arial" w:hAnsi="Arial" w:cs="Arial"/>
          <w:sz w:val="22"/>
          <w:szCs w:val="22"/>
        </w:rPr>
      </w:pPr>
      <w:r>
        <w:rPr>
          <w:rFonts w:ascii="Arial" w:eastAsia="Arial" w:hAnsi="Arial" w:cs="Arial"/>
          <w:sz w:val="22"/>
          <w:szCs w:val="22"/>
        </w:rPr>
        <w:t>2.</w:t>
      </w:r>
    </w:p>
    <w:p w14:paraId="6BC58069" w14:textId="77777777" w:rsidR="00431585" w:rsidRPr="0068039B" w:rsidRDefault="00431585" w:rsidP="00431585">
      <w:pPr>
        <w:tabs>
          <w:tab w:val="left" w:pos="567"/>
        </w:tabs>
        <w:spacing w:line="276" w:lineRule="auto"/>
        <w:jc w:val="both"/>
        <w:rPr>
          <w:rFonts w:ascii="Arial" w:eastAsia="Arial" w:hAnsi="Arial" w:cs="Arial"/>
          <w:sz w:val="22"/>
          <w:szCs w:val="22"/>
        </w:rPr>
      </w:pPr>
      <w:r w:rsidRPr="0068039B">
        <w:rPr>
          <w:rFonts w:ascii="Arial" w:eastAsia="Arial" w:hAnsi="Arial" w:cs="Arial"/>
          <w:sz w:val="22"/>
          <w:szCs w:val="22"/>
        </w:rPr>
        <w:t xml:space="preserve">The development hereby permitted shall be carried out in accordance with the following approved plans: </w:t>
      </w:r>
    </w:p>
    <w:p w14:paraId="12DC1C35" w14:textId="77777777" w:rsidR="00431585" w:rsidRDefault="00431585" w:rsidP="00431585">
      <w:pPr>
        <w:tabs>
          <w:tab w:val="left" w:pos="567"/>
        </w:tabs>
        <w:spacing w:line="276" w:lineRule="auto"/>
        <w:jc w:val="both"/>
        <w:rPr>
          <w:rFonts w:ascii="Arial" w:eastAsia="Arial" w:hAnsi="Arial" w:cs="Arial"/>
          <w:sz w:val="22"/>
          <w:szCs w:val="22"/>
        </w:rPr>
      </w:pPr>
    </w:p>
    <w:p w14:paraId="2132CBA3" w14:textId="77777777" w:rsidR="00431585" w:rsidRDefault="00431585" w:rsidP="00431585">
      <w:pPr>
        <w:tabs>
          <w:tab w:val="left" w:pos="567"/>
        </w:tabs>
        <w:spacing w:line="276" w:lineRule="auto"/>
        <w:jc w:val="both"/>
        <w:rPr>
          <w:rFonts w:ascii="Arial" w:eastAsia="Arial" w:hAnsi="Arial" w:cs="Arial"/>
          <w:sz w:val="22"/>
          <w:szCs w:val="22"/>
        </w:rPr>
      </w:pPr>
      <w:r>
        <w:rPr>
          <w:rFonts w:ascii="Arial" w:eastAsia="Arial" w:hAnsi="Arial" w:cs="Arial"/>
          <w:sz w:val="22"/>
          <w:szCs w:val="22"/>
        </w:rPr>
        <w:t>Site Plan and Proposed Elevations THS-PS-02 (20 November 2025)</w:t>
      </w:r>
    </w:p>
    <w:p w14:paraId="34BAF067" w14:textId="77777777" w:rsidR="00431585" w:rsidRDefault="00431585" w:rsidP="00431585">
      <w:pPr>
        <w:tabs>
          <w:tab w:val="left" w:pos="567"/>
        </w:tabs>
        <w:spacing w:line="276" w:lineRule="auto"/>
        <w:jc w:val="both"/>
        <w:rPr>
          <w:rFonts w:ascii="Arial" w:eastAsia="Arial" w:hAnsi="Arial" w:cs="Arial"/>
          <w:sz w:val="22"/>
          <w:szCs w:val="22"/>
        </w:rPr>
      </w:pPr>
      <w:r>
        <w:rPr>
          <w:rFonts w:ascii="Arial" w:eastAsia="Arial" w:hAnsi="Arial" w:cs="Arial"/>
          <w:sz w:val="22"/>
          <w:szCs w:val="22"/>
        </w:rPr>
        <w:t>Location Plan THS-PS-03 (20 November 2025)</w:t>
      </w:r>
    </w:p>
    <w:p w14:paraId="66F2BF46" w14:textId="4E220C01" w:rsidR="00431585" w:rsidRDefault="00431585" w:rsidP="00431585">
      <w:pPr>
        <w:tabs>
          <w:tab w:val="left" w:pos="567"/>
        </w:tabs>
        <w:spacing w:line="276" w:lineRule="auto"/>
        <w:jc w:val="both"/>
        <w:rPr>
          <w:rFonts w:ascii="Arial" w:eastAsia="Arial" w:hAnsi="Arial" w:cs="Arial"/>
          <w:sz w:val="22"/>
          <w:szCs w:val="22"/>
        </w:rPr>
      </w:pPr>
      <w:r>
        <w:rPr>
          <w:rFonts w:ascii="Arial" w:eastAsia="Arial" w:hAnsi="Arial" w:cs="Arial"/>
          <w:sz w:val="22"/>
          <w:szCs w:val="22"/>
        </w:rPr>
        <w:t>Design and Access Statement (</w:t>
      </w:r>
      <w:r w:rsidR="00531B70">
        <w:rPr>
          <w:rFonts w:ascii="Arial" w:eastAsia="Arial" w:hAnsi="Arial" w:cs="Arial"/>
          <w:sz w:val="22"/>
          <w:szCs w:val="22"/>
        </w:rPr>
        <w:t>13 February 2026</w:t>
      </w:r>
      <w:r>
        <w:rPr>
          <w:rFonts w:ascii="Arial" w:eastAsia="Arial" w:hAnsi="Arial" w:cs="Arial"/>
          <w:sz w:val="22"/>
          <w:szCs w:val="22"/>
        </w:rPr>
        <w:t>)</w:t>
      </w:r>
    </w:p>
    <w:p w14:paraId="239F054C" w14:textId="77777777" w:rsidR="00531B70" w:rsidRPr="00AE6EDD" w:rsidRDefault="00531B70" w:rsidP="00431585">
      <w:pPr>
        <w:tabs>
          <w:tab w:val="left" w:pos="567"/>
        </w:tabs>
        <w:spacing w:line="276" w:lineRule="auto"/>
        <w:jc w:val="both"/>
        <w:rPr>
          <w:rFonts w:ascii="Arial" w:eastAsia="Arial" w:hAnsi="Arial" w:cs="Arial"/>
          <w:sz w:val="22"/>
          <w:szCs w:val="22"/>
        </w:rPr>
      </w:pPr>
    </w:p>
    <w:p w14:paraId="09A0D77F" w14:textId="77777777" w:rsidR="00431585" w:rsidRPr="0068039B" w:rsidRDefault="00431585" w:rsidP="00431585">
      <w:pPr>
        <w:tabs>
          <w:tab w:val="left" w:pos="567"/>
        </w:tabs>
        <w:spacing w:line="276" w:lineRule="auto"/>
        <w:jc w:val="both"/>
        <w:rPr>
          <w:rFonts w:ascii="Arial" w:eastAsia="Arial" w:hAnsi="Arial" w:cs="Arial"/>
          <w:sz w:val="22"/>
          <w:szCs w:val="22"/>
        </w:rPr>
      </w:pPr>
      <w:r w:rsidRPr="0068039B">
        <w:rPr>
          <w:rFonts w:ascii="Arial" w:eastAsia="Arial" w:hAnsi="Arial" w:cs="Arial"/>
          <w:sz w:val="22"/>
          <w:szCs w:val="22"/>
        </w:rPr>
        <w:t>REASON: For the avoidance of doubt and in the interests of proper planning.</w:t>
      </w:r>
    </w:p>
    <w:p w14:paraId="7A6E57D4" w14:textId="77777777" w:rsidR="00330FCB" w:rsidRPr="00075C07" w:rsidRDefault="00330FCB" w:rsidP="00330FCB">
      <w:pPr>
        <w:spacing w:line="276" w:lineRule="auto"/>
        <w:jc w:val="both"/>
        <w:rPr>
          <w:rFonts w:ascii="Arial" w:hAnsi="Arial" w:cs="Arial"/>
          <w:color w:val="FF0000"/>
          <w:sz w:val="22"/>
          <w:szCs w:val="22"/>
        </w:rPr>
      </w:pPr>
    </w:p>
    <w:p w14:paraId="0A064A34" w14:textId="3E2B7F3B" w:rsidR="006B4ED4" w:rsidRPr="006B4ED4" w:rsidRDefault="006B4ED4" w:rsidP="00FE0FB2">
      <w:pPr>
        <w:rPr>
          <w:rFonts w:ascii="Arial" w:hAnsi="Arial" w:cs="Arial"/>
          <w:color w:val="FF0000"/>
          <w:sz w:val="20"/>
          <w:szCs w:val="20"/>
        </w:rPr>
      </w:pP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4D6CB9"/>
    <w:multiLevelType w:val="hybridMultilevel"/>
    <w:tmpl w:val="59F6B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4"/>
  </w:num>
  <w:num w:numId="7" w16cid:durableId="1286542474">
    <w:abstractNumId w:val="5"/>
  </w:num>
  <w:num w:numId="8" w16cid:durableId="1542328013">
    <w:abstractNumId w:val="10"/>
  </w:num>
  <w:num w:numId="9" w16cid:durableId="2027555515">
    <w:abstractNumId w:val="8"/>
  </w:num>
  <w:num w:numId="10" w16cid:durableId="1878279251">
    <w:abstractNumId w:val="1"/>
  </w:num>
  <w:num w:numId="11" w16cid:durableId="20194270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F00"/>
    <w:rsid w:val="00015622"/>
    <w:rsid w:val="00015C0D"/>
    <w:rsid w:val="00044328"/>
    <w:rsid w:val="000456D0"/>
    <w:rsid w:val="00055B0F"/>
    <w:rsid w:val="0006177E"/>
    <w:rsid w:val="00062A40"/>
    <w:rsid w:val="00070A76"/>
    <w:rsid w:val="00075C07"/>
    <w:rsid w:val="00081734"/>
    <w:rsid w:val="000B05DF"/>
    <w:rsid w:val="000B4D97"/>
    <w:rsid w:val="000C6EF7"/>
    <w:rsid w:val="000D0E39"/>
    <w:rsid w:val="000E3596"/>
    <w:rsid w:val="000E38BA"/>
    <w:rsid w:val="000F1D22"/>
    <w:rsid w:val="001003C2"/>
    <w:rsid w:val="0012332F"/>
    <w:rsid w:val="00123898"/>
    <w:rsid w:val="001251AE"/>
    <w:rsid w:val="00130858"/>
    <w:rsid w:val="0015620C"/>
    <w:rsid w:val="0016397C"/>
    <w:rsid w:val="00164DC7"/>
    <w:rsid w:val="0017440C"/>
    <w:rsid w:val="0018465E"/>
    <w:rsid w:val="001929B3"/>
    <w:rsid w:val="001951C6"/>
    <w:rsid w:val="001A0A2E"/>
    <w:rsid w:val="001A0F50"/>
    <w:rsid w:val="001A14B2"/>
    <w:rsid w:val="001B17F8"/>
    <w:rsid w:val="001B2AF4"/>
    <w:rsid w:val="001C4291"/>
    <w:rsid w:val="001C770A"/>
    <w:rsid w:val="001D3680"/>
    <w:rsid w:val="001E210B"/>
    <w:rsid w:val="001F52AF"/>
    <w:rsid w:val="00212E9D"/>
    <w:rsid w:val="00215BB1"/>
    <w:rsid w:val="00220396"/>
    <w:rsid w:val="002238D3"/>
    <w:rsid w:val="00227942"/>
    <w:rsid w:val="002346D2"/>
    <w:rsid w:val="0023524B"/>
    <w:rsid w:val="00237835"/>
    <w:rsid w:val="0024516A"/>
    <w:rsid w:val="00245EA8"/>
    <w:rsid w:val="00247662"/>
    <w:rsid w:val="00255042"/>
    <w:rsid w:val="002574DF"/>
    <w:rsid w:val="00262F2E"/>
    <w:rsid w:val="002755A2"/>
    <w:rsid w:val="0028102A"/>
    <w:rsid w:val="00290D1C"/>
    <w:rsid w:val="00295C04"/>
    <w:rsid w:val="002A0353"/>
    <w:rsid w:val="002A1715"/>
    <w:rsid w:val="002A73D1"/>
    <w:rsid w:val="002B2380"/>
    <w:rsid w:val="002B5192"/>
    <w:rsid w:val="002C4607"/>
    <w:rsid w:val="002C650A"/>
    <w:rsid w:val="002E02F9"/>
    <w:rsid w:val="002E6332"/>
    <w:rsid w:val="002F4101"/>
    <w:rsid w:val="002F53F9"/>
    <w:rsid w:val="00303570"/>
    <w:rsid w:val="00304DA1"/>
    <w:rsid w:val="00306089"/>
    <w:rsid w:val="00313982"/>
    <w:rsid w:val="003240DB"/>
    <w:rsid w:val="00327F1B"/>
    <w:rsid w:val="00330FCB"/>
    <w:rsid w:val="0033669A"/>
    <w:rsid w:val="00341989"/>
    <w:rsid w:val="0035771C"/>
    <w:rsid w:val="00362CFF"/>
    <w:rsid w:val="00363BD7"/>
    <w:rsid w:val="00371825"/>
    <w:rsid w:val="00371AAC"/>
    <w:rsid w:val="00383F2A"/>
    <w:rsid w:val="003A1308"/>
    <w:rsid w:val="003A3155"/>
    <w:rsid w:val="003A7F6C"/>
    <w:rsid w:val="003B136F"/>
    <w:rsid w:val="003B26C9"/>
    <w:rsid w:val="003B4451"/>
    <w:rsid w:val="003B7DD4"/>
    <w:rsid w:val="003C76C7"/>
    <w:rsid w:val="003D015A"/>
    <w:rsid w:val="003D1E9D"/>
    <w:rsid w:val="003D5C26"/>
    <w:rsid w:val="003E43F6"/>
    <w:rsid w:val="00403FEB"/>
    <w:rsid w:val="0041729C"/>
    <w:rsid w:val="00417846"/>
    <w:rsid w:val="00421DC5"/>
    <w:rsid w:val="004226F2"/>
    <w:rsid w:val="00431585"/>
    <w:rsid w:val="00434323"/>
    <w:rsid w:val="00441C5A"/>
    <w:rsid w:val="00444A36"/>
    <w:rsid w:val="0045663E"/>
    <w:rsid w:val="00461560"/>
    <w:rsid w:val="00462077"/>
    <w:rsid w:val="00462BEF"/>
    <w:rsid w:val="004631CA"/>
    <w:rsid w:val="0046523C"/>
    <w:rsid w:val="0047010C"/>
    <w:rsid w:val="0048452F"/>
    <w:rsid w:val="00485212"/>
    <w:rsid w:val="00492EB4"/>
    <w:rsid w:val="004A432D"/>
    <w:rsid w:val="004A59AA"/>
    <w:rsid w:val="004B0D89"/>
    <w:rsid w:val="004C2742"/>
    <w:rsid w:val="004D1B58"/>
    <w:rsid w:val="004D20B5"/>
    <w:rsid w:val="004D29B9"/>
    <w:rsid w:val="004E1333"/>
    <w:rsid w:val="004E5366"/>
    <w:rsid w:val="004E5947"/>
    <w:rsid w:val="004E7A6C"/>
    <w:rsid w:val="004F57B4"/>
    <w:rsid w:val="0050043D"/>
    <w:rsid w:val="0051622F"/>
    <w:rsid w:val="00522A6A"/>
    <w:rsid w:val="00531B70"/>
    <w:rsid w:val="0053334B"/>
    <w:rsid w:val="00540D8E"/>
    <w:rsid w:val="005435B4"/>
    <w:rsid w:val="00552306"/>
    <w:rsid w:val="00561AE7"/>
    <w:rsid w:val="0056508E"/>
    <w:rsid w:val="0056795F"/>
    <w:rsid w:val="00580DA8"/>
    <w:rsid w:val="00595D1C"/>
    <w:rsid w:val="005A3D8E"/>
    <w:rsid w:val="005A7264"/>
    <w:rsid w:val="005B1CA8"/>
    <w:rsid w:val="005C0C82"/>
    <w:rsid w:val="005C30A6"/>
    <w:rsid w:val="005C5A46"/>
    <w:rsid w:val="005D2581"/>
    <w:rsid w:val="005D3E56"/>
    <w:rsid w:val="005D7F1D"/>
    <w:rsid w:val="005F0C1A"/>
    <w:rsid w:val="005F4AFC"/>
    <w:rsid w:val="00601AAD"/>
    <w:rsid w:val="0060536A"/>
    <w:rsid w:val="00606E13"/>
    <w:rsid w:val="00614357"/>
    <w:rsid w:val="006325D0"/>
    <w:rsid w:val="006361C6"/>
    <w:rsid w:val="00640499"/>
    <w:rsid w:val="0064099D"/>
    <w:rsid w:val="0064468A"/>
    <w:rsid w:val="00644E28"/>
    <w:rsid w:val="006475CE"/>
    <w:rsid w:val="00652C47"/>
    <w:rsid w:val="00653201"/>
    <w:rsid w:val="00660DCD"/>
    <w:rsid w:val="006646C2"/>
    <w:rsid w:val="0067097F"/>
    <w:rsid w:val="006760E8"/>
    <w:rsid w:val="00685272"/>
    <w:rsid w:val="00687041"/>
    <w:rsid w:val="00694DDA"/>
    <w:rsid w:val="00696923"/>
    <w:rsid w:val="006A046D"/>
    <w:rsid w:val="006A676B"/>
    <w:rsid w:val="006B4ED4"/>
    <w:rsid w:val="006C1101"/>
    <w:rsid w:val="006C3E6E"/>
    <w:rsid w:val="006C68D8"/>
    <w:rsid w:val="006C7EF7"/>
    <w:rsid w:val="006D2DAA"/>
    <w:rsid w:val="006E1060"/>
    <w:rsid w:val="006E26D9"/>
    <w:rsid w:val="006E7161"/>
    <w:rsid w:val="006F3CE5"/>
    <w:rsid w:val="007126AD"/>
    <w:rsid w:val="00713A31"/>
    <w:rsid w:val="00724032"/>
    <w:rsid w:val="0072500F"/>
    <w:rsid w:val="0072605C"/>
    <w:rsid w:val="00727220"/>
    <w:rsid w:val="007336B3"/>
    <w:rsid w:val="0073376C"/>
    <w:rsid w:val="00751CD6"/>
    <w:rsid w:val="00763C6E"/>
    <w:rsid w:val="00765813"/>
    <w:rsid w:val="0076658F"/>
    <w:rsid w:val="00777F61"/>
    <w:rsid w:val="00783E82"/>
    <w:rsid w:val="00794688"/>
    <w:rsid w:val="007A3D0E"/>
    <w:rsid w:val="007A5705"/>
    <w:rsid w:val="007A61A7"/>
    <w:rsid w:val="007C4434"/>
    <w:rsid w:val="007C5693"/>
    <w:rsid w:val="007D0171"/>
    <w:rsid w:val="007D167B"/>
    <w:rsid w:val="007E0B02"/>
    <w:rsid w:val="007E19A1"/>
    <w:rsid w:val="007F204C"/>
    <w:rsid w:val="00812AF8"/>
    <w:rsid w:val="0081484B"/>
    <w:rsid w:val="00820464"/>
    <w:rsid w:val="00827534"/>
    <w:rsid w:val="00831793"/>
    <w:rsid w:val="00841628"/>
    <w:rsid w:val="008539A1"/>
    <w:rsid w:val="00856BF8"/>
    <w:rsid w:val="008610E2"/>
    <w:rsid w:val="008644AC"/>
    <w:rsid w:val="0086459F"/>
    <w:rsid w:val="00870CB1"/>
    <w:rsid w:val="00871565"/>
    <w:rsid w:val="00874E1A"/>
    <w:rsid w:val="00876329"/>
    <w:rsid w:val="0088368E"/>
    <w:rsid w:val="008872CC"/>
    <w:rsid w:val="00890257"/>
    <w:rsid w:val="0089746E"/>
    <w:rsid w:val="008A2EDC"/>
    <w:rsid w:val="008C1DB2"/>
    <w:rsid w:val="008C2CBB"/>
    <w:rsid w:val="008D5791"/>
    <w:rsid w:val="008D6C52"/>
    <w:rsid w:val="008E5C53"/>
    <w:rsid w:val="008F136A"/>
    <w:rsid w:val="008F1CFF"/>
    <w:rsid w:val="008F1DF3"/>
    <w:rsid w:val="008F3CD7"/>
    <w:rsid w:val="00911C57"/>
    <w:rsid w:val="00921461"/>
    <w:rsid w:val="00946DDB"/>
    <w:rsid w:val="009476E3"/>
    <w:rsid w:val="00960475"/>
    <w:rsid w:val="009753A2"/>
    <w:rsid w:val="00982730"/>
    <w:rsid w:val="00982EB1"/>
    <w:rsid w:val="00990E62"/>
    <w:rsid w:val="00995309"/>
    <w:rsid w:val="00997306"/>
    <w:rsid w:val="009A4915"/>
    <w:rsid w:val="009A5A55"/>
    <w:rsid w:val="009B0C1C"/>
    <w:rsid w:val="009B681A"/>
    <w:rsid w:val="009C06F3"/>
    <w:rsid w:val="009C0B7F"/>
    <w:rsid w:val="009C68FD"/>
    <w:rsid w:val="009D2F03"/>
    <w:rsid w:val="009D621E"/>
    <w:rsid w:val="009E223C"/>
    <w:rsid w:val="009E23EC"/>
    <w:rsid w:val="009E6324"/>
    <w:rsid w:val="00A150C8"/>
    <w:rsid w:val="00A21F94"/>
    <w:rsid w:val="00A30B7E"/>
    <w:rsid w:val="00A349B0"/>
    <w:rsid w:val="00A37686"/>
    <w:rsid w:val="00A42C19"/>
    <w:rsid w:val="00A55F84"/>
    <w:rsid w:val="00A65218"/>
    <w:rsid w:val="00A71CD4"/>
    <w:rsid w:val="00A81081"/>
    <w:rsid w:val="00A84775"/>
    <w:rsid w:val="00A860E2"/>
    <w:rsid w:val="00A9321F"/>
    <w:rsid w:val="00A938B9"/>
    <w:rsid w:val="00A94664"/>
    <w:rsid w:val="00AA3D23"/>
    <w:rsid w:val="00AB1E61"/>
    <w:rsid w:val="00AB2910"/>
    <w:rsid w:val="00AC22E2"/>
    <w:rsid w:val="00AC499A"/>
    <w:rsid w:val="00AD0940"/>
    <w:rsid w:val="00AD1819"/>
    <w:rsid w:val="00AD1D50"/>
    <w:rsid w:val="00AD3402"/>
    <w:rsid w:val="00AD4290"/>
    <w:rsid w:val="00AE53C4"/>
    <w:rsid w:val="00B125B4"/>
    <w:rsid w:val="00B149EB"/>
    <w:rsid w:val="00B15AD7"/>
    <w:rsid w:val="00B20C1F"/>
    <w:rsid w:val="00B21D27"/>
    <w:rsid w:val="00B31880"/>
    <w:rsid w:val="00B40BA3"/>
    <w:rsid w:val="00B41FA9"/>
    <w:rsid w:val="00B42171"/>
    <w:rsid w:val="00B47DE8"/>
    <w:rsid w:val="00B5556F"/>
    <w:rsid w:val="00B56262"/>
    <w:rsid w:val="00B62AC6"/>
    <w:rsid w:val="00B72711"/>
    <w:rsid w:val="00B812E0"/>
    <w:rsid w:val="00B86414"/>
    <w:rsid w:val="00B86CE9"/>
    <w:rsid w:val="00B94B02"/>
    <w:rsid w:val="00BA0474"/>
    <w:rsid w:val="00BA513F"/>
    <w:rsid w:val="00BA6A58"/>
    <w:rsid w:val="00BB2CE7"/>
    <w:rsid w:val="00BB5F42"/>
    <w:rsid w:val="00BC39D3"/>
    <w:rsid w:val="00BC78BB"/>
    <w:rsid w:val="00BD07DC"/>
    <w:rsid w:val="00BD0A58"/>
    <w:rsid w:val="00BD3BD3"/>
    <w:rsid w:val="00BD44C1"/>
    <w:rsid w:val="00BD4AD3"/>
    <w:rsid w:val="00BD5CE2"/>
    <w:rsid w:val="00BE04AB"/>
    <w:rsid w:val="00BE644A"/>
    <w:rsid w:val="00BF0BA3"/>
    <w:rsid w:val="00BF4374"/>
    <w:rsid w:val="00C25413"/>
    <w:rsid w:val="00C328B6"/>
    <w:rsid w:val="00C44B5F"/>
    <w:rsid w:val="00C53B6A"/>
    <w:rsid w:val="00C563CE"/>
    <w:rsid w:val="00C56682"/>
    <w:rsid w:val="00C568B6"/>
    <w:rsid w:val="00C63478"/>
    <w:rsid w:val="00C64924"/>
    <w:rsid w:val="00C664A5"/>
    <w:rsid w:val="00C71367"/>
    <w:rsid w:val="00C77C50"/>
    <w:rsid w:val="00C94CB8"/>
    <w:rsid w:val="00CA7015"/>
    <w:rsid w:val="00CB502A"/>
    <w:rsid w:val="00CC144B"/>
    <w:rsid w:val="00CF554E"/>
    <w:rsid w:val="00D077DE"/>
    <w:rsid w:val="00D132AC"/>
    <w:rsid w:val="00D1724C"/>
    <w:rsid w:val="00D21893"/>
    <w:rsid w:val="00D230F8"/>
    <w:rsid w:val="00D26887"/>
    <w:rsid w:val="00D302CF"/>
    <w:rsid w:val="00D40240"/>
    <w:rsid w:val="00D422AF"/>
    <w:rsid w:val="00D61D82"/>
    <w:rsid w:val="00D66197"/>
    <w:rsid w:val="00D70231"/>
    <w:rsid w:val="00D75D30"/>
    <w:rsid w:val="00D835DA"/>
    <w:rsid w:val="00D86EDB"/>
    <w:rsid w:val="00DA5825"/>
    <w:rsid w:val="00DC4C05"/>
    <w:rsid w:val="00DC4F3E"/>
    <w:rsid w:val="00DC64E7"/>
    <w:rsid w:val="00DD29A1"/>
    <w:rsid w:val="00DE34F6"/>
    <w:rsid w:val="00DE745B"/>
    <w:rsid w:val="00DE7788"/>
    <w:rsid w:val="00E01400"/>
    <w:rsid w:val="00E2394E"/>
    <w:rsid w:val="00E536CD"/>
    <w:rsid w:val="00E55D48"/>
    <w:rsid w:val="00E600A1"/>
    <w:rsid w:val="00E64624"/>
    <w:rsid w:val="00E746AD"/>
    <w:rsid w:val="00E747FF"/>
    <w:rsid w:val="00E85E15"/>
    <w:rsid w:val="00E93D2E"/>
    <w:rsid w:val="00E94629"/>
    <w:rsid w:val="00EA0C6C"/>
    <w:rsid w:val="00EB3DCC"/>
    <w:rsid w:val="00ED180D"/>
    <w:rsid w:val="00ED1BDF"/>
    <w:rsid w:val="00ED2593"/>
    <w:rsid w:val="00EE28CA"/>
    <w:rsid w:val="00EF2859"/>
    <w:rsid w:val="00EF4944"/>
    <w:rsid w:val="00F068C8"/>
    <w:rsid w:val="00F07090"/>
    <w:rsid w:val="00F1756F"/>
    <w:rsid w:val="00F21CAC"/>
    <w:rsid w:val="00F221E9"/>
    <w:rsid w:val="00F23765"/>
    <w:rsid w:val="00F30ED3"/>
    <w:rsid w:val="00F35E07"/>
    <w:rsid w:val="00F45C7C"/>
    <w:rsid w:val="00F5017A"/>
    <w:rsid w:val="00F55995"/>
    <w:rsid w:val="00F703B8"/>
    <w:rsid w:val="00F8024A"/>
    <w:rsid w:val="00F95080"/>
    <w:rsid w:val="00F9784D"/>
    <w:rsid w:val="00FA1A62"/>
    <w:rsid w:val="00FB1E29"/>
    <w:rsid w:val="00FB21BA"/>
    <w:rsid w:val="00FD4D99"/>
    <w:rsid w:val="00FD4F9F"/>
    <w:rsid w:val="00FD706E"/>
    <w:rsid w:val="00FE0FB2"/>
    <w:rsid w:val="00FE655C"/>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paragraph" w:styleId="Heading5">
    <w:name w:val="heading 5"/>
    <w:basedOn w:val="Normal"/>
    <w:next w:val="Normal"/>
    <w:link w:val="Heading5Char"/>
    <w:uiPriority w:val="9"/>
    <w:semiHidden/>
    <w:unhideWhenUsed/>
    <w:qFormat/>
    <w:rsid w:val="00AD1D50"/>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PlainText">
    <w:name w:val="Plain Text"/>
    <w:basedOn w:val="Normal"/>
    <w:link w:val="PlainTextChar"/>
    <w:uiPriority w:val="99"/>
    <w:unhideWhenUsed/>
    <w:rsid w:val="00295C04"/>
    <w:rPr>
      <w:rFonts w:ascii="Consolas" w:eastAsia="Calibri" w:hAnsi="Consolas" w:cs="Consolas"/>
      <w:sz w:val="21"/>
      <w:szCs w:val="21"/>
      <w:lang w:eastAsia="en-US"/>
    </w:rPr>
  </w:style>
  <w:style w:type="character" w:customStyle="1" w:styleId="PlainTextChar">
    <w:name w:val="Plain Text Char"/>
    <w:basedOn w:val="DefaultParagraphFont"/>
    <w:link w:val="PlainText"/>
    <w:uiPriority w:val="99"/>
    <w:rsid w:val="00295C04"/>
    <w:rPr>
      <w:rFonts w:ascii="Consolas" w:eastAsia="Calibri" w:hAnsi="Consolas" w:cs="Consolas"/>
      <w:sz w:val="21"/>
      <w:szCs w:val="21"/>
      <w:lang w:eastAsia="en-US"/>
    </w:rPr>
  </w:style>
  <w:style w:type="character" w:customStyle="1" w:styleId="legds2">
    <w:name w:val="legds2"/>
    <w:rsid w:val="00295C04"/>
  </w:style>
  <w:style w:type="character" w:customStyle="1" w:styleId="legaddition5">
    <w:name w:val="legaddition5"/>
    <w:rsid w:val="00295C04"/>
  </w:style>
  <w:style w:type="character" w:customStyle="1" w:styleId="Heading5Char">
    <w:name w:val="Heading 5 Char"/>
    <w:basedOn w:val="DefaultParagraphFont"/>
    <w:link w:val="Heading5"/>
    <w:uiPriority w:val="9"/>
    <w:semiHidden/>
    <w:rsid w:val="00AD1D50"/>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114</TotalTime>
  <Pages>1</Pages>
  <Words>1998</Words>
  <Characters>11473</Characters>
  <Application>Microsoft Office Word</Application>
  <DocSecurity>0</DocSecurity>
  <Lines>239</Lines>
  <Paragraphs>89</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84</cp:revision>
  <cp:lastPrinted>2007-12-19T10:51:00Z</cp:lastPrinted>
  <dcterms:created xsi:type="dcterms:W3CDTF">2025-06-02T09:27:00Z</dcterms:created>
  <dcterms:modified xsi:type="dcterms:W3CDTF">2026-02-16T09:34:00Z</dcterms:modified>
</cp:coreProperties>
</file>