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7233A" w14:textId="2CBF00ED" w:rsidR="00FD2479" w:rsidRDefault="00EC5838" w:rsidP="00B462FF">
      <w:pPr>
        <w:jc w:val="right"/>
      </w:pPr>
      <w:r>
        <w:rPr>
          <w:noProof/>
        </w:rPr>
        <w:drawing>
          <wp:inline distT="0" distB="0" distL="0" distR="0" wp14:anchorId="0E8814A8" wp14:editId="57A075D0">
            <wp:extent cx="2924175" cy="704850"/>
            <wp:effectExtent l="0" t="0" r="9525" b="0"/>
            <wp:docPr id="182458248"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8248" name="Picture 1" descr="A black background with blue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4175" cy="704850"/>
                    </a:xfrm>
                    <a:prstGeom prst="rect">
                      <a:avLst/>
                    </a:prstGeom>
                    <a:noFill/>
                    <a:ln>
                      <a:noFill/>
                    </a:ln>
                  </pic:spPr>
                </pic:pic>
              </a:graphicData>
            </a:graphic>
          </wp:inline>
        </w:drawing>
      </w:r>
    </w:p>
    <w:p w14:paraId="3C8C3E49" w14:textId="77777777" w:rsidR="00B462FF" w:rsidRDefault="00B462FF" w:rsidP="00B462FF"/>
    <w:p w14:paraId="50B4AA0F" w14:textId="49B59AB2" w:rsidR="00B462FF" w:rsidRDefault="00B462FF" w:rsidP="00B462FF">
      <w:r>
        <w:fldChar w:fldCharType="begin"/>
      </w:r>
      <w:r>
        <w:instrText xml:space="preserve"> DATE \@ "dddd, dd MMMM yyyy" </w:instrText>
      </w:r>
      <w:r>
        <w:fldChar w:fldCharType="separate"/>
      </w:r>
      <w:r w:rsidR="001826F4">
        <w:rPr>
          <w:noProof/>
        </w:rPr>
        <w:t>Tuesday, 03 February 2026</w:t>
      </w:r>
      <w:r>
        <w:fldChar w:fldCharType="end"/>
      </w:r>
    </w:p>
    <w:sdt>
      <w:sdtPr>
        <w:rPr>
          <w:b/>
        </w:rPr>
        <w:id w:val="2103371616"/>
        <w:placeholder>
          <w:docPart w:val="A6EFA105D0F64E39BFE63F4F7F848067"/>
        </w:placeholder>
      </w:sdtPr>
      <w:sdtEndPr/>
      <w:sdtContent>
        <w:p w14:paraId="7AAE1D38" w14:textId="1BC69594" w:rsidR="00123DBA" w:rsidRPr="00123DBA" w:rsidRDefault="00123DBA" w:rsidP="00B462FF">
          <w:pPr>
            <w:rPr>
              <w:b/>
            </w:rPr>
          </w:pPr>
          <w:r>
            <w:rPr>
              <w:b/>
            </w:rPr>
            <w:t>Objection to Application</w:t>
          </w:r>
          <w:r w:rsidR="00B10182">
            <w:rPr>
              <w:b/>
            </w:rPr>
            <w:t xml:space="preserve"> </w:t>
          </w:r>
          <w:r w:rsidR="001826F4" w:rsidRPr="001826F4">
            <w:rPr>
              <w:b/>
            </w:rPr>
            <w:t>PL/2025/09845</w:t>
          </w:r>
        </w:p>
      </w:sdtContent>
    </w:sdt>
    <w:p w14:paraId="236A20BE" w14:textId="4B2B9616" w:rsidR="00456B23" w:rsidRDefault="0018139C" w:rsidP="00FF395F">
      <w:pPr>
        <w:rPr>
          <w:b/>
        </w:rPr>
      </w:pPr>
      <w:r>
        <w:rPr>
          <w:b/>
        </w:rPr>
        <w:t xml:space="preserve">Site Address: </w:t>
      </w:r>
      <w:sdt>
        <w:sdtPr>
          <w:rPr>
            <w:b/>
          </w:rPr>
          <w:id w:val="270515913"/>
          <w:placeholder>
            <w:docPart w:val="DefaultPlaceholder_-1854013440"/>
          </w:placeholder>
        </w:sdtPr>
        <w:sdtEndPr/>
        <w:sdtContent>
          <w:r w:rsidR="001826F4" w:rsidRPr="001826F4">
            <w:rPr>
              <w:b/>
            </w:rPr>
            <w:t>Fives Court, Angel Lane, Mere, Warminster, BA12 6DH</w:t>
          </w:r>
        </w:sdtContent>
      </w:sdt>
    </w:p>
    <w:p w14:paraId="0E7B2288" w14:textId="55EDFCAB" w:rsidR="00456B23" w:rsidRDefault="00B10182" w:rsidP="00FF395F">
      <w:pPr>
        <w:rPr>
          <w:b/>
        </w:rPr>
      </w:pPr>
      <w:r>
        <w:rPr>
          <w:b/>
        </w:rPr>
        <w:t>Description:</w:t>
      </w:r>
      <w:r w:rsidR="00EA4B39">
        <w:rPr>
          <w:b/>
        </w:rPr>
        <w:t xml:space="preserve"> </w:t>
      </w:r>
      <w:sdt>
        <w:sdtPr>
          <w:rPr>
            <w:b/>
          </w:rPr>
          <w:id w:val="-1047146124"/>
          <w:placeholder>
            <w:docPart w:val="DefaultPlaceholder_-1854013440"/>
          </w:placeholder>
        </w:sdtPr>
        <w:sdtEndPr/>
        <w:sdtContent>
          <w:r w:rsidR="001826F4" w:rsidRPr="001826F4">
            <w:rPr>
              <w:b/>
            </w:rPr>
            <w:t>The partial deconstruction, extension, refurbishment and change of use of an unlisted former care home (C2) to 20no. Affordable Housing independent living apartments (C3) for older people, with communal facilities.</w:t>
          </w:r>
        </w:sdtContent>
      </w:sdt>
    </w:p>
    <w:p w14:paraId="18049831" w14:textId="5C49BF7E" w:rsidR="00684983" w:rsidRDefault="00684983" w:rsidP="003952C2">
      <w:pPr>
        <w:pStyle w:val="Heading2"/>
        <w:rPr>
          <w:noProof/>
        </w:rPr>
      </w:pPr>
      <w:r>
        <w:rPr>
          <w:noProof/>
        </w:rPr>
        <w:t>Introduction:</w:t>
      </w:r>
    </w:p>
    <w:p w14:paraId="193DD9C8" w14:textId="48C3DC12" w:rsidR="00F815DC" w:rsidRPr="00F815DC" w:rsidRDefault="00F815DC" w:rsidP="00513671">
      <w:r w:rsidRPr="00F815DC">
        <w:t xml:space="preserve">This </w:t>
      </w:r>
      <w:r>
        <w:t xml:space="preserve">objection has been submitted in </w:t>
      </w:r>
      <w:r w:rsidR="00FB0D7A">
        <w:t>relation to the above application</w:t>
      </w:r>
      <w:r w:rsidR="00FB48CB">
        <w:t xml:space="preserve"> on behalf of Mr. </w:t>
      </w:r>
      <w:r w:rsidR="00FB48CB" w:rsidRPr="00FB48CB">
        <w:t>Will La Trobe-Bateman</w:t>
      </w:r>
      <w:r w:rsidR="00FB48CB">
        <w:t>.</w:t>
      </w:r>
    </w:p>
    <w:p w14:paraId="691A4CFD" w14:textId="77777777" w:rsidR="00271B09" w:rsidRPr="00271B09" w:rsidRDefault="00271B09" w:rsidP="00513671">
      <w:r w:rsidRPr="00271B09">
        <w:t>The proposals would result in the loss of an important community facility and associated community use, yet the submission is not supported by the marketing, sequential or alternative provision evidence that the development plan expects before such a loss can be accepted.</w:t>
      </w:r>
    </w:p>
    <w:p w14:paraId="31088524" w14:textId="77777777" w:rsidR="00271B09" w:rsidRPr="00271B09" w:rsidRDefault="00271B09" w:rsidP="00513671">
      <w:r w:rsidRPr="00271B09">
        <w:t>The scheme would also cause harm to the Mere Conservation Area. Its scale, roofscape and overall massing would fail to preserve or enhance the character and appearance of the area, engaging the statutory duty to give special attention to conservation area desirability and the strong national policy weight that is attached to the conservation of heritage assets.</w:t>
      </w:r>
    </w:p>
    <w:p w14:paraId="2EE879E4" w14:textId="77777777" w:rsidR="00271B09" w:rsidRDefault="00271B09" w:rsidP="00513671">
      <w:r w:rsidRPr="00271B09">
        <w:t>Beyond this, the bulk, height and layout would introduce unacceptable impacts on local character and on neighbouring amenity. The relationship with nearby occupiers raises credible concerns around privacy and the likelihood of noise and disturbance, and the application does not demonstrate that these effects would be avoided or convincingly mitigated.</w:t>
      </w:r>
    </w:p>
    <w:p w14:paraId="75391C1D" w14:textId="04DB9F14" w:rsidR="00EC1DA7" w:rsidRPr="00271B09" w:rsidRDefault="00EC1DA7" w:rsidP="00513671">
      <w:r>
        <w:t xml:space="preserve">There are also concerns relating to </w:t>
      </w:r>
      <w:r w:rsidR="008D3E28">
        <w:t>highways, accessibility and car parking standards.</w:t>
      </w:r>
    </w:p>
    <w:p w14:paraId="445D390E" w14:textId="10CD5FB6" w:rsidR="00271B09" w:rsidRDefault="00271B09" w:rsidP="00F815DC">
      <w:pPr>
        <w:pStyle w:val="Heading2"/>
      </w:pPr>
      <w:r>
        <w:t>Relevant Planning Policy:</w:t>
      </w:r>
    </w:p>
    <w:p w14:paraId="24403944" w14:textId="77777777" w:rsidR="00777FB0" w:rsidRPr="00777FB0" w:rsidRDefault="00777FB0" w:rsidP="00777FB0">
      <w:r w:rsidRPr="00777FB0">
        <w:t xml:space="preserve">The application must be determined in accordance with the statutory development plan unless material considerations indicate otherwise. The development plan comprises the Wiltshire Core Strategy (adopted January 2015), supported by relevant supplementary guidance, and read alongside national policy in the National Planning Policy Framework (NPPF). </w:t>
      </w:r>
    </w:p>
    <w:p w14:paraId="4489B429" w14:textId="77777777" w:rsidR="00777FB0" w:rsidRPr="00777FB0" w:rsidRDefault="00777FB0" w:rsidP="00777FB0">
      <w:r w:rsidRPr="00777FB0">
        <w:t>Given the site lies within the Mere Conservation Area, the statutory duty in section 72(1) of the Planning (Listed Buildings and Conservation Areas) Act 1990 applies. This requires special attention to be paid to the desirability of preserving or enhancing the character or appearance of the conservation area.</w:t>
      </w:r>
    </w:p>
    <w:p w14:paraId="23194995" w14:textId="35066D3F" w:rsidR="00777FB0" w:rsidRPr="00777FB0" w:rsidRDefault="00777FB0" w:rsidP="00777FB0">
      <w:r w:rsidRPr="00777FB0">
        <w:t>Core Policy 49 is directly engaged because the proposal would result in the loss of a long established C2 care home use. CP49 adopts a restrictive approach to the loss of valued rural services and community facilities and is expressly framed around ongoing decline in rural services, including health facilities.</w:t>
      </w:r>
    </w:p>
    <w:p w14:paraId="5FBD0D65" w14:textId="79919BFC" w:rsidR="00777FB0" w:rsidRPr="00777FB0" w:rsidRDefault="00777FB0" w:rsidP="00777FB0">
      <w:r w:rsidRPr="00777FB0">
        <w:lastRenderedPageBreak/>
        <w:t>The supporting text is important because it confirms that rural facilities and services are those that benefit the local community, and it explicitly notes a gradual decline in health facilities.</w:t>
      </w:r>
    </w:p>
    <w:p w14:paraId="0E9BFE7C" w14:textId="3F67AF47" w:rsidR="00777FB0" w:rsidRPr="00777FB0" w:rsidRDefault="00777FB0" w:rsidP="00777FB0">
      <w:r w:rsidRPr="00777FB0">
        <w:t>CP49 then sets a clear policy test which must be satisfied before loss can be supported. In summary, proposals involving the loss of a community service or facili</w:t>
      </w:r>
      <w:r>
        <w:t>ties</w:t>
      </w:r>
      <w:r w:rsidRPr="00777FB0">
        <w:t xml:space="preserve"> will only be supported where it is demonstrated that the site or building is no longer economically viable for an alternative community use, with a preference hierarchy that prioritises retention of the existing use, then an alternative community use, then (if necessary) a mixed use that still retains a substantial portion of the facility, with redevelopment for </w:t>
      </w:r>
      <w:proofErr w:type="spellStart"/>
      <w:r w:rsidRPr="00777FB0">
        <w:t>non community</w:t>
      </w:r>
      <w:proofErr w:type="spellEnd"/>
      <w:r w:rsidRPr="00777FB0">
        <w:t xml:space="preserve"> use treated as a last resort.</w:t>
      </w:r>
    </w:p>
    <w:p w14:paraId="3F7938FD" w14:textId="43E4AC4D" w:rsidR="00777FB0" w:rsidRPr="00777FB0" w:rsidRDefault="00777FB0" w:rsidP="00777FB0">
      <w:r w:rsidRPr="00777FB0">
        <w:t xml:space="preserve">Where loss is proposed, CP49 requires a comprehensive, </w:t>
      </w:r>
      <w:proofErr w:type="gramStart"/>
      <w:r w:rsidRPr="00777FB0">
        <w:t>evidence based</w:t>
      </w:r>
      <w:proofErr w:type="gramEnd"/>
      <w:r w:rsidRPr="00777FB0">
        <w:t xml:space="preserve"> marketing exercise to have been undertaken and submitted with the application. The policy sets minimum criteria, including marketing for at least six months, openness and flexibility on alternative community uses, appropriate prices reflecting local market value, evidence that the marketing had regard to the hierarchy of preferred uses, and a verifiable record of marketing activity and respondents.</w:t>
      </w:r>
    </w:p>
    <w:p w14:paraId="288C233E" w14:textId="77777777" w:rsidR="00777FB0" w:rsidRPr="00777FB0" w:rsidRDefault="00777FB0" w:rsidP="00777FB0">
      <w:r w:rsidRPr="00777FB0">
        <w:t>On the information currently available, that evidential threshold has not been met. In the absence of a CP49 compliant marketing and re use assessment, the proposal has not demonstrated that the loss of the existing facility is policy compliant, nor that reasonable alternatives have been properly tested.</w:t>
      </w:r>
    </w:p>
    <w:p w14:paraId="241473B1" w14:textId="77777777" w:rsidR="00777FB0" w:rsidRPr="00777FB0" w:rsidRDefault="00777FB0" w:rsidP="00777FB0">
      <w:r w:rsidRPr="00777FB0">
        <w:t>There are three linked reasons the former care home use should be treated as a CP49 rural community facility in planning terms.</w:t>
      </w:r>
    </w:p>
    <w:p w14:paraId="08B5575A" w14:textId="02C4AA29" w:rsidR="00777FB0" w:rsidRPr="00777FB0" w:rsidRDefault="00777FB0" w:rsidP="00777FB0">
      <w:r w:rsidRPr="00777FB0">
        <w:t xml:space="preserve">First, CP49 is not limited to retail or public houses. The supporting text explicitly references decline in health </w:t>
      </w:r>
      <w:proofErr w:type="gramStart"/>
      <w:r w:rsidRPr="00777FB0">
        <w:t>facilities, and</w:t>
      </w:r>
      <w:proofErr w:type="gramEnd"/>
      <w:r w:rsidRPr="00777FB0">
        <w:t xml:space="preserve"> defines rural facilities and services by reference to community benefit. A care home provides care, support and accommodation for older members of the community and supports associated family visitation, local health interactions and local employment. That function aligns with the category of community serving infrastructure that CP49 is intended to retain.</w:t>
      </w:r>
    </w:p>
    <w:p w14:paraId="5C1E4077" w14:textId="0BB6F21B" w:rsidR="00777FB0" w:rsidRPr="00777FB0" w:rsidRDefault="00777FB0" w:rsidP="00777FB0">
      <w:r w:rsidRPr="00777FB0">
        <w:t>Second, the policy purpose is particularly relevant in rural service centres where replacement provision is less likely to be like for like and where service loss can increase travel demands. That point is material where the applicant relies on accessibility and travel patterns as part of the transport narrative.</w:t>
      </w:r>
    </w:p>
    <w:p w14:paraId="6E1DC0F7" w14:textId="66CB737F" w:rsidR="00777FB0" w:rsidRPr="00777FB0" w:rsidRDefault="00777FB0" w:rsidP="00777FB0">
      <w:r w:rsidRPr="00777FB0">
        <w:t xml:space="preserve">Third, national policy reinforces the development plan approach to sustaining healthy communities and resisting unnecessary loss of valued facilities, so the absence of robust justification and a properly evidenced alternatives appraisal </w:t>
      </w:r>
      <w:proofErr w:type="gramStart"/>
      <w:r w:rsidRPr="00777FB0">
        <w:t>carries</w:t>
      </w:r>
      <w:proofErr w:type="gramEnd"/>
      <w:r w:rsidRPr="00777FB0">
        <w:t xml:space="preserve"> significant weight in the overall planning balance.</w:t>
      </w:r>
    </w:p>
    <w:p w14:paraId="7780DE77" w14:textId="7EB137D1" w:rsidR="00777FB0" w:rsidRPr="00777FB0" w:rsidRDefault="00777FB0" w:rsidP="00777FB0">
      <w:r w:rsidRPr="00777FB0">
        <w:t xml:space="preserve">Core Policy 58 requires development to protect, conserve and where possible enhance the historic environment, including the special character or appearance of conservation areas, and the conservation of distinctive elements that contribute to local character and identity. </w:t>
      </w:r>
    </w:p>
    <w:p w14:paraId="20AA5E2D" w14:textId="7A426DBF" w:rsidR="00777FB0" w:rsidRPr="00777FB0" w:rsidRDefault="00777FB0" w:rsidP="00777FB0">
      <w:r w:rsidRPr="00777FB0">
        <w:t xml:space="preserve">Where the applicant’s Heritage Statement identifies “less than substantial harm”, that still engages the statutory duty and the NPPF heritage balance. The NPPF expects great weight to be given to the conservation of designated heritage </w:t>
      </w:r>
      <w:proofErr w:type="gramStart"/>
      <w:r w:rsidRPr="00777FB0">
        <w:t>assets, and</w:t>
      </w:r>
      <w:proofErr w:type="gramEnd"/>
      <w:r w:rsidRPr="00777FB0">
        <w:t xml:space="preserve"> requires any less than substantial harm to be weighed against public benefits. </w:t>
      </w:r>
    </w:p>
    <w:p w14:paraId="67C9B62B" w14:textId="556AD262" w:rsidR="00777FB0" w:rsidRPr="00777FB0" w:rsidRDefault="00777FB0" w:rsidP="00777FB0">
      <w:r w:rsidRPr="00777FB0">
        <w:t xml:space="preserve">Accordingly, any increase in massing, changes to roofscape or eaves lines, and any harm to key townscape views and the pattern of rooflines and sky gaps that contribute to Mere’s conservation area character must be clearly evidenced, convincingly justified, and demonstrated to comply with CP58 and the section 72 duty. </w:t>
      </w:r>
    </w:p>
    <w:p w14:paraId="5CDAEB9E" w14:textId="77777777" w:rsidR="00777FB0" w:rsidRPr="00777FB0" w:rsidRDefault="00777FB0" w:rsidP="00777FB0">
      <w:r w:rsidRPr="00777FB0">
        <w:lastRenderedPageBreak/>
        <w:t xml:space="preserve">Core Policy 57 requires a high standard of design in all development, including changes of use, extensions and alterations. It requires proposals to respond positively to local context and to create a strong sense of place, including through retention and enhancement of important views, and through careful response to existing townscape and landscape features such as height, mass, scale, building line, plot size, elevational design, materials, streetscape and rooflines. </w:t>
      </w:r>
    </w:p>
    <w:p w14:paraId="4187AD63" w14:textId="1FC280A7" w:rsidR="00281971" w:rsidRDefault="001F6E55" w:rsidP="00777FB0">
      <w:pPr>
        <w:pStyle w:val="Heading2"/>
      </w:pPr>
      <w:r>
        <w:t>Discussion of Scheme</w:t>
      </w:r>
      <w:r w:rsidR="0018139C">
        <w:t>:</w:t>
      </w:r>
    </w:p>
    <w:p w14:paraId="5F92BDC0" w14:textId="199DA3DD" w:rsidR="00C512FB" w:rsidRPr="00513671" w:rsidRDefault="00513671" w:rsidP="001B18AD">
      <w:pPr>
        <w:rPr>
          <w:b/>
          <w:bCs/>
        </w:rPr>
      </w:pPr>
      <w:r w:rsidRPr="00513671">
        <w:rPr>
          <w:b/>
          <w:bCs/>
        </w:rPr>
        <w:t>Principle of Development:</w:t>
      </w:r>
    </w:p>
    <w:p w14:paraId="2AA4284F" w14:textId="3FB2AE36" w:rsidR="00557170" w:rsidRPr="00557170" w:rsidRDefault="00557170" w:rsidP="00557170">
      <w:r w:rsidRPr="00557170">
        <w:t xml:space="preserve">The existing lawful use is a care home (Use Class C2), providing accommodation and </w:t>
      </w:r>
      <w:proofErr w:type="gramStart"/>
      <w:r w:rsidRPr="00557170">
        <w:t>on site</w:t>
      </w:r>
      <w:proofErr w:type="gramEnd"/>
      <w:r w:rsidRPr="00557170">
        <w:t xml:space="preserve"> care to older and vulnerable residents. In the context of a smaller</w:t>
      </w:r>
      <w:r w:rsidR="00BC78A3">
        <w:t xml:space="preserve"> rural</w:t>
      </w:r>
      <w:r w:rsidRPr="00557170">
        <w:t xml:space="preserve"> settlement, this is a community facility in the proper planning sense. It is part of the social infrastructure that enables residents to remain within, or close to, established support networks, including family, friends, GP services and local community ties. It also reduces the need for long distance travel to higher order centres in order to access care, which in turn supports more sustainable patterns of living for residents, visitors and staff.</w:t>
      </w:r>
    </w:p>
    <w:p w14:paraId="76AB1A7D" w14:textId="77777777" w:rsidR="00557170" w:rsidRPr="00557170" w:rsidRDefault="00557170" w:rsidP="00557170">
      <w:r w:rsidRPr="00557170">
        <w:t>This understanding aligns with the spatial strategy. Mere is identified as a Local Service Centre, reflecting its role in serving its community area and surrounding rural hinterland. That role is supported by the retention of essential community services and facilities within the settlement, including facilities that meet care and support needs locally.</w:t>
      </w:r>
    </w:p>
    <w:p w14:paraId="1D242BAB" w14:textId="77777777" w:rsidR="00557170" w:rsidRPr="00557170" w:rsidRDefault="00557170" w:rsidP="00557170">
      <w:r w:rsidRPr="00557170">
        <w:t xml:space="preserve">It also sits squarely within the objectives of Core Policy 46 (Meeting the needs of Wiltshire’s vulnerable and older people). Core Policy 46 supports provision that meets specialist accommodation and </w:t>
      </w:r>
      <w:proofErr w:type="gramStart"/>
      <w:r w:rsidRPr="00557170">
        <w:t>care</w:t>
      </w:r>
      <w:proofErr w:type="gramEnd"/>
      <w:r w:rsidRPr="00557170">
        <w:t xml:space="preserve"> related needs. A functioning C2 care home represents precisely the type of use that contributes to delivering Core Policy 46 in practice. The loss of such a facility therefore engages two linked plan objectives: the protection of community facilities in rural areas and the strategic need to maintain a choice of accommodation and care options for older and vulnerable people.</w:t>
      </w:r>
    </w:p>
    <w:p w14:paraId="0FABF526" w14:textId="77777777" w:rsidR="00557170" w:rsidRPr="00557170" w:rsidRDefault="00557170" w:rsidP="00557170">
      <w:r w:rsidRPr="00557170">
        <w:t>In that context, the former care home should be treated as a protected community facility for the purposes of Core Policy 49. The starting point is that its loss should be resisted unless the strict tests in the development plan are met and evidenced.</w:t>
      </w:r>
    </w:p>
    <w:p w14:paraId="38720C49" w14:textId="7C91F2C5" w:rsidR="00557170" w:rsidRPr="00557170" w:rsidRDefault="00557170" w:rsidP="00557170">
      <w:r w:rsidRPr="00557170">
        <w:t>The policy provides a clear basis for resisting the loss of facilities where they perform a community function, unless specific criteria are satisfied and evidenced. The thrust of the policy is “community reuse first”, supported by robust marketing and viability evidence. This is to ensure that facilities are not lost by default, and that change of use is only supported where it is genuinely demonstrated that the facility is no longer needed or capable of viable community operation.</w:t>
      </w:r>
    </w:p>
    <w:p w14:paraId="0A4E277C" w14:textId="424799BE" w:rsidR="00557170" w:rsidRPr="00557170" w:rsidRDefault="00557170" w:rsidP="00557170">
      <w:r w:rsidRPr="00557170">
        <w:t>The policy’s evidential requirements are the mechanism through which the plan safeguards communities from incremental erosion of local services. Where an applicant seeks to justify loss of a facility, Core Policy 49 expects a transparent and auditable record demonstrating, among other things, that marketing has been undertaken for a sufficient period, that it has been open and flexible to alternative community uses, that the price reflects the market value, that the marketing has been properly publicised, and that responses and negotiations are documented. It also expects lease terms, sale terms, or other constraints not to be set in a way that undermines community re use.</w:t>
      </w:r>
    </w:p>
    <w:p w14:paraId="734D8727" w14:textId="77777777" w:rsidR="00557170" w:rsidRPr="00557170" w:rsidRDefault="00557170" w:rsidP="00557170">
      <w:r w:rsidRPr="00557170">
        <w:t xml:space="preserve">No such policy compliant package has been identified. In the absence of clear, comprehensive and verifiable marketing and viability evidence that meets the Core Policy 49 requirements, the application fails the development plan tests. This is a fundamental deficiency because the </w:t>
      </w:r>
      <w:r w:rsidRPr="00557170">
        <w:lastRenderedPageBreak/>
        <w:t>acceptability of the proposal is, in large part, contingent on whether the loss of the established community care facility is justified.</w:t>
      </w:r>
    </w:p>
    <w:p w14:paraId="0046CB79" w14:textId="77777777" w:rsidR="00557170" w:rsidRPr="00557170" w:rsidRDefault="00557170" w:rsidP="00557170">
      <w:r w:rsidRPr="00557170">
        <w:t>The Council cannot reasonably conclude that Core Policy 49 has been satisfied on the basis of assertion or limited narrative alone. The policy requires evidence, and the burden rests with the applicant to provide it.</w:t>
      </w:r>
    </w:p>
    <w:p w14:paraId="787D4257" w14:textId="77777777" w:rsidR="00557170" w:rsidRPr="00557170" w:rsidRDefault="00557170" w:rsidP="00557170">
      <w:r w:rsidRPr="00557170">
        <w:t xml:space="preserve">Core Policy 49 expects a sequential approach that properly explores whether the facility can continue in community use, either in its current form or through alternative community provision. In the case of a care home, that means more than asking whether the site can operate as the same business under the same operator. It requires a proper exploration of whether there is a reasonable prospect of continued community operation through other providers, alternative care models, or other </w:t>
      </w:r>
      <w:proofErr w:type="gramStart"/>
      <w:r w:rsidRPr="00557170">
        <w:t>community based</w:t>
      </w:r>
      <w:proofErr w:type="gramEnd"/>
      <w:r w:rsidRPr="00557170">
        <w:t xml:space="preserve"> uses that would meet local needs.</w:t>
      </w:r>
    </w:p>
    <w:p w14:paraId="78670228" w14:textId="77777777" w:rsidR="00557170" w:rsidRPr="00557170" w:rsidRDefault="00557170" w:rsidP="00557170">
      <w:r w:rsidRPr="00557170">
        <w:t>The current submission seeks to justify a shift from C2 to C3 “independent living” apartments. That is a different form of accommodation with a materially different role, regulatory position and service offer. Even where such accommodation may contribute to housing supply, it does not automatically address the specific need for supported accommodation and care provision that a C2 use provides, particularly in a smaller settlement context. Put plainly, a move to C3 does not, of itself, demonstrate that the existing C2 facility is no longer required, no longer viable, or incapable of community re use.</w:t>
      </w:r>
    </w:p>
    <w:p w14:paraId="22CAB0CB" w14:textId="77777777" w:rsidR="00557170" w:rsidRPr="00557170" w:rsidRDefault="00557170" w:rsidP="00557170">
      <w:r w:rsidRPr="00557170">
        <w:t>Nor does it demonstrate compliance with the Core Policy 49 requirement to show that community re use has been prioritised and genuinely tested. Without evidence of flexible marketing, engagement with potential community operators, and a transparent record of enquiries and outcomes, there is no proper basis to conclude that the site could not remain in a community care related use, or another appropriate community facility use, consistent with the development plan strategy for rural services and facilities.</w:t>
      </w:r>
    </w:p>
    <w:p w14:paraId="54ED23C0" w14:textId="77777777" w:rsidR="00557170" w:rsidRPr="00557170" w:rsidRDefault="00557170" w:rsidP="00557170">
      <w:r w:rsidRPr="00557170">
        <w:t>This is especially important given the alignment with Core Policy 46. If the plan recognises the importance of meeting older and vulnerable people’s needs, then proposals that remove an existing care facility must clear a high evidential bar. On the information presented, that bar has not been met.</w:t>
      </w:r>
    </w:p>
    <w:p w14:paraId="0816EBAC" w14:textId="51328794" w:rsidR="00557170" w:rsidRPr="00557170" w:rsidRDefault="00557170" w:rsidP="00557170">
      <w:r w:rsidRPr="00557170">
        <w:t>Refusal is warranted due to conflict with Core Policy 49, read alongside the objectives of Core Policy 46 and the role of Mere as a Local Service Centre.</w:t>
      </w:r>
    </w:p>
    <w:p w14:paraId="1C4D80F3" w14:textId="6575151A" w:rsidR="00F83078" w:rsidRPr="00F83078" w:rsidRDefault="00E81E26" w:rsidP="00F83078">
      <w:pPr>
        <w:rPr>
          <w:b/>
          <w:bCs/>
        </w:rPr>
      </w:pPr>
      <w:r>
        <w:rPr>
          <w:b/>
          <w:bCs/>
        </w:rPr>
        <w:t>Heritage and Conservation:</w:t>
      </w:r>
    </w:p>
    <w:p w14:paraId="14C54F1C" w14:textId="41EBFD8C" w:rsidR="00C77EC1" w:rsidRPr="00C77EC1" w:rsidRDefault="00C77EC1" w:rsidP="00C77EC1">
      <w:r w:rsidRPr="00C77EC1">
        <w:t>The proposal raises clear and interrelated heritage and visual concerns within the Mere Conservation Area, focused on increased scale, altered roof form, and the way the intensified envelope would be experienced in public views within and around the designated area. In a tight historic townscape such as Mere, significance is expressed through the cumulative legibility of rooflines, silhouettes, intervisibility between plots, and the established hierarchy of building proportions. Interventions that add perceptible bulk, introduce additional mass above the established eaves line, or materially reprofile the roofscape can therefore generate heritage harm and visual amenity harm together.</w:t>
      </w:r>
    </w:p>
    <w:p w14:paraId="7078A515" w14:textId="77777777" w:rsidR="00C77EC1" w:rsidRPr="00C77EC1" w:rsidRDefault="00C77EC1" w:rsidP="00C77EC1">
      <w:r w:rsidRPr="00C77EC1">
        <w:t xml:space="preserve">Under section 72(1) of the Planning (Listed Buildings and Conservation Areas) Act 1990, special attention must be paid to the desirability of preserving or enhancing the character or appearance of the conservation area. That duty is a legal </w:t>
      </w:r>
      <w:proofErr w:type="gramStart"/>
      <w:r w:rsidRPr="00C77EC1">
        <w:t>test</w:t>
      </w:r>
      <w:proofErr w:type="gramEnd"/>
      <w:r w:rsidRPr="00C77EC1">
        <w:t xml:space="preserve"> and it must be demonstrably applied in the </w:t>
      </w:r>
      <w:proofErr w:type="gramStart"/>
      <w:r w:rsidRPr="00C77EC1">
        <w:t xml:space="preserve">decision </w:t>
      </w:r>
      <w:r w:rsidRPr="00C77EC1">
        <w:lastRenderedPageBreak/>
        <w:t>making</w:t>
      </w:r>
      <w:proofErr w:type="gramEnd"/>
      <w:r w:rsidRPr="00C77EC1">
        <w:t xml:space="preserve"> process, with the statutory presumption in favour of preservation carrying real weight in the overall balance.</w:t>
      </w:r>
    </w:p>
    <w:p w14:paraId="5F621482" w14:textId="310D6D23" w:rsidR="00C77EC1" w:rsidRPr="00C77EC1" w:rsidRDefault="00C77EC1" w:rsidP="00C77EC1">
      <w:r w:rsidRPr="00C77EC1">
        <w:t>The submitted Heritage Impact Statement for the site acknowledges the sensitivity created by the site’s position within the Mere Conservation Area and expressly identifies that the key issue turns on the height and massing of the proposed new building</w:t>
      </w:r>
      <w:r w:rsidR="00FA3DD3">
        <w:t xml:space="preserve">. </w:t>
      </w:r>
      <w:r w:rsidRPr="00C77EC1">
        <w:t>It also evaluates effects on nearby heritage receptors, including the Church of St Michael and the “Fives Court Wall”, as well as the wider conservation area</w:t>
      </w:r>
      <w:r w:rsidR="00FA3DD3">
        <w:t xml:space="preserve">. </w:t>
      </w:r>
      <w:r w:rsidRPr="00C77EC1">
        <w:t>The report’s overall conclusion is that, when assessed against the public good it identifies, the potential harms can reasonably be characterised as less than substantial in NPPF terms</w:t>
      </w:r>
      <w:r w:rsidR="00FA3DD3">
        <w:t>.</w:t>
      </w:r>
      <w:r w:rsidRPr="00C77EC1">
        <w:t xml:space="preserve"> </w:t>
      </w:r>
    </w:p>
    <w:p w14:paraId="7C17E880" w14:textId="77777777" w:rsidR="00C77EC1" w:rsidRPr="00C77EC1" w:rsidRDefault="00C77EC1" w:rsidP="00C77EC1">
      <w:r w:rsidRPr="00C77EC1">
        <w:t xml:space="preserve">That conclusion does not remove the policy consequences of harm. National policy requires great weight to be given to the conservation of designated heritage assets, including conservation areas and their settings. Where harm is identified and it is “less than substantial”, it still attracts considerable importance and </w:t>
      </w:r>
      <w:proofErr w:type="gramStart"/>
      <w:r w:rsidRPr="00C77EC1">
        <w:t>weight, and</w:t>
      </w:r>
      <w:proofErr w:type="gramEnd"/>
      <w:r w:rsidRPr="00C77EC1">
        <w:t xml:space="preserve"> must be weighed against the public benefits of the proposal. The greater the degree and spread of harm, the more specific and compelling the public benefits need to be.</w:t>
      </w:r>
    </w:p>
    <w:p w14:paraId="3C3F5F7A" w14:textId="74FC8F3E" w:rsidR="00C77EC1" w:rsidRPr="00C77EC1" w:rsidRDefault="00C77EC1" w:rsidP="00C77EC1">
      <w:r w:rsidRPr="00C77EC1">
        <w:t xml:space="preserve">In this case, there remains a clear concern that the scheme would fail to preserve the character or appearance of the Mere Conservation Area. The Heritage Impact Statement places strong reliance on the proposition that visibility is limited from certain approaches, noting for example screening effects from a large historic barn at the Angel Lane entrance and limited views from parts of the surrounding streets. However, conservation area experience is </w:t>
      </w:r>
      <w:r w:rsidR="00D10636">
        <w:t>not</w:t>
      </w:r>
      <w:r w:rsidRPr="00C77EC1">
        <w:t xml:space="preserve"> confined to a single viewpoint. It is commonly understood through repeated, changing glimpses as one moves through the street network, and through the way roofscape and massing are read in the middle distance over boundary treatments, between buildings, and across gardens and lanes. A design that increases perceived bulk and changes roof profile </w:t>
      </w:r>
      <w:r w:rsidR="00D10636">
        <w:t>will</w:t>
      </w:r>
      <w:r w:rsidRPr="00C77EC1">
        <w:t xml:space="preserve"> become repeatedly noticeable across multiple public positions, even where the building is intermittently screened at plot level.</w:t>
      </w:r>
    </w:p>
    <w:p w14:paraId="663E913A" w14:textId="77777777" w:rsidR="00C77EC1" w:rsidRPr="00C77EC1" w:rsidRDefault="00C77EC1" w:rsidP="00C77EC1">
      <w:r w:rsidRPr="00C77EC1">
        <w:t xml:space="preserve">Accordingly, the key issue is not solely whether the new form can be seen from one particular location, but whether the altered roofscape, increased massing and revised envelope would sit comfortably within the established grain, roofscape rhythm and proportionate hierarchy that defines the conservation area’s special interest. In a context where the report itself identifies height and massing as central to the judgement, a scheme that materially increases roof volume and reprofiles the silhouette raises a strong risk of a visually assertive addition that disrupts roofline coherence and townscape composition. That in turn indicates conflict with Core Policy 58 of the Wiltshire Core Strategy, which requires proposals to protect, conserve and, where appropriate, enhance the historic environment, including conservation areas and their settings. The same approach is reinforced by the </w:t>
      </w:r>
      <w:proofErr w:type="gramStart"/>
      <w:r w:rsidRPr="00C77EC1">
        <w:t>long established</w:t>
      </w:r>
      <w:proofErr w:type="gramEnd"/>
      <w:r w:rsidRPr="00C77EC1">
        <w:t xml:space="preserve"> conservation area principles previously expressed through saved policies addressing conservation area character and important views, which remain directly relevant in applying Core Policy 58 to proposals that reshape rooflines and skylines.</w:t>
      </w:r>
    </w:p>
    <w:p w14:paraId="095649F9" w14:textId="77777777" w:rsidR="00C77EC1" w:rsidRPr="00C77EC1" w:rsidRDefault="00C77EC1" w:rsidP="00C77EC1">
      <w:r w:rsidRPr="00C77EC1">
        <w:t xml:space="preserve">Taken together, the proposal has not robustly demonstrated preservation or enhancement of the Mere Conservation Area as required by section 72(1). The Heritage Impact Statement’s “less than substantial harm” position confirms that harm is engaged, so the decision maker must apply the statutory duty, give that harm considerable weight, and then test whether the claimed public benefits are sufficiently clear, secured, and compelling to justify approval. On the evidence presently available, the scheme should be refused unless and until a revised design approach is advanced that materially reduces apparent bulk and roof mass, and a strengthened townscape assessment </w:t>
      </w:r>
      <w:r w:rsidRPr="00C77EC1">
        <w:lastRenderedPageBreak/>
        <w:t>demonstrates, with clear verified viewpoints, that the conservation area’s roofscape rhythm, proportions, and key experiential views are conserved.</w:t>
      </w:r>
    </w:p>
    <w:p w14:paraId="606E9BEB" w14:textId="268012EA" w:rsidR="00DC2288" w:rsidRPr="00DC2288" w:rsidRDefault="00DC2288" w:rsidP="00DC2288">
      <w:pPr>
        <w:rPr>
          <w:b/>
          <w:bCs/>
        </w:rPr>
      </w:pPr>
      <w:r w:rsidRPr="00DC2288">
        <w:rPr>
          <w:b/>
          <w:bCs/>
        </w:rPr>
        <w:t xml:space="preserve">Residential </w:t>
      </w:r>
      <w:r w:rsidR="00466E7D">
        <w:rPr>
          <w:b/>
          <w:bCs/>
        </w:rPr>
        <w:t>A</w:t>
      </w:r>
      <w:r w:rsidRPr="00DC2288">
        <w:rPr>
          <w:b/>
          <w:bCs/>
        </w:rPr>
        <w:t>menity</w:t>
      </w:r>
      <w:r w:rsidR="00466E7D">
        <w:rPr>
          <w:b/>
          <w:bCs/>
        </w:rPr>
        <w:t>:</w:t>
      </w:r>
    </w:p>
    <w:p w14:paraId="5EE40EC7" w14:textId="31B13821" w:rsidR="004A2A3A" w:rsidRPr="004A2A3A" w:rsidRDefault="004A2A3A" w:rsidP="004A2A3A">
      <w:r w:rsidRPr="004A2A3A">
        <w:t xml:space="preserve">The proposal gives rise to credible residential amenity concerns, arising from both the physical form of the development and its operation. The combination of increased height and bulk in close proximity to </w:t>
      </w:r>
      <w:r>
        <w:t xml:space="preserve">residential </w:t>
      </w:r>
      <w:r w:rsidRPr="004A2A3A">
        <w:t>boundaries, together with elevated external amenity space, balconies and communal areas</w:t>
      </w:r>
      <w:r>
        <w:t xml:space="preserve"> </w:t>
      </w:r>
      <w:r w:rsidRPr="004A2A3A">
        <w:t>would create a materially different relationship with neighbouring homes and gardens. That change is capable of increasing noise and general disturbance, intensifying the perception of overlooking, and creating an overbearing sense of enclosure that would diminish the quiet enjoyment and practical usability of adjoining private amenity space.</w:t>
      </w:r>
    </w:p>
    <w:p w14:paraId="6E17E38C" w14:textId="77777777" w:rsidR="004A2A3A" w:rsidRPr="004A2A3A" w:rsidRDefault="004A2A3A" w:rsidP="004A2A3A">
      <w:r w:rsidRPr="004A2A3A">
        <w:t>Core Policy 57 requires development to protect the amenity of existing occupiers. This includes privacy and disturbance, but also broader living conditions such as outlook, dominance and the experience of enclosure. The test is outcome focused. A scheme must be designed so that its scale, layout and operation avoid materially harmful effects on nearby receptors.</w:t>
      </w:r>
    </w:p>
    <w:p w14:paraId="25816A59" w14:textId="429096F2" w:rsidR="004A2A3A" w:rsidRPr="004A2A3A" w:rsidRDefault="004A2A3A" w:rsidP="004A2A3A">
      <w:r w:rsidRPr="004A2A3A">
        <w:t xml:space="preserve">National policy similarly expects a high standard of amenity for existing and future users. Elevated terraces and balconies, and substantial increases in height close to boundaries are sensitive design issues because they </w:t>
      </w:r>
      <w:r w:rsidR="00200A17">
        <w:t>would</w:t>
      </w:r>
      <w:r w:rsidRPr="004A2A3A">
        <w:t xml:space="preserve"> intensify activity at height, alter the perceived dominance of built form in outlook, and change the</w:t>
      </w:r>
      <w:r w:rsidR="00200A17">
        <w:t xml:space="preserve"> private</w:t>
      </w:r>
      <w:r w:rsidRPr="004A2A3A">
        <w:t xml:space="preserve"> character of neighbouring gardens and patios.</w:t>
      </w:r>
    </w:p>
    <w:p w14:paraId="70D98ECD" w14:textId="7656497F" w:rsidR="004A2A3A" w:rsidRPr="004A2A3A" w:rsidRDefault="004A2A3A" w:rsidP="004A2A3A">
      <w:r w:rsidRPr="004A2A3A">
        <w:t xml:space="preserve">A distinct concern arises from the increased height and massing and the way the enlarged built form would present along garden boundaries. Where </w:t>
      </w:r>
      <w:r w:rsidR="00B06520">
        <w:t xml:space="preserve">the </w:t>
      </w:r>
      <w:r w:rsidRPr="004A2A3A">
        <w:t xml:space="preserve">development introduces a taller, more continuous built edge close to </w:t>
      </w:r>
      <w:r w:rsidR="00B06520">
        <w:t>the</w:t>
      </w:r>
      <w:r w:rsidRPr="004A2A3A">
        <w:t xml:space="preserve"> boundar</w:t>
      </w:r>
      <w:r w:rsidR="00B06520">
        <w:t>ies</w:t>
      </w:r>
      <w:r w:rsidRPr="004A2A3A">
        <w:t xml:space="preserve">, it </w:t>
      </w:r>
      <w:r w:rsidR="00B06520">
        <w:t>will</w:t>
      </w:r>
      <w:r w:rsidRPr="004A2A3A">
        <w:t xml:space="preserve"> create a</w:t>
      </w:r>
      <w:r w:rsidR="00B06520">
        <w:t xml:space="preserve">n enclosing </w:t>
      </w:r>
      <w:r w:rsidRPr="004A2A3A">
        <w:t xml:space="preserve">effect when experienced from adjoining gardens and rear facing rooms. </w:t>
      </w:r>
    </w:p>
    <w:p w14:paraId="224CB12E" w14:textId="3D46FAF1" w:rsidR="004A2A3A" w:rsidRPr="004A2A3A" w:rsidRDefault="004A2A3A" w:rsidP="004A2A3A">
      <w:r w:rsidRPr="004A2A3A">
        <w:t xml:space="preserve">The effect becomes more acute when considered alongside balconies and </w:t>
      </w:r>
      <w:proofErr w:type="gramStart"/>
      <w:r w:rsidRPr="004A2A3A">
        <w:t>upper level</w:t>
      </w:r>
      <w:proofErr w:type="gramEnd"/>
      <w:r w:rsidRPr="004A2A3A">
        <w:t xml:space="preserve"> accommodation. A taller building mass close to the boundary does not only change outlook. It also provides a more prominent setting for activity, movement and presence at </w:t>
      </w:r>
      <w:r w:rsidR="00200A17">
        <w:t>a raised height,</w:t>
      </w:r>
      <w:r w:rsidRPr="004A2A3A">
        <w:t xml:space="preserve"> which can reinforce disturbance and perceived overlooking impacts.</w:t>
      </w:r>
    </w:p>
    <w:p w14:paraId="7335F67E" w14:textId="77777777" w:rsidR="004A2A3A" w:rsidRPr="004A2A3A" w:rsidRDefault="004A2A3A" w:rsidP="004A2A3A">
      <w:r w:rsidRPr="004A2A3A">
        <w:t>Operationally, older persons accommodation often gives rise to different patterns of use compared with a conventional dwelling. Upper floors can include lounges, sitting rooms, shared facilities and accessible circulation space, which may generate prolonged daytime occupation at height and regular movement between internal communal rooms and adjoining balconies or terraces. Elevated external spaces then operate as an extension of living accommodation, increasing the intensity and frequency of external use, including conversation and general day-to-day activity, at a height where sound can travel more directly into neighbouring gardens. Boundary fences and planting that provide separation at ground level do not materially contain noise generated at elevated levels.</w:t>
      </w:r>
    </w:p>
    <w:p w14:paraId="783E363B" w14:textId="77777777" w:rsidR="004A2A3A" w:rsidRPr="004A2A3A" w:rsidRDefault="004A2A3A" w:rsidP="004A2A3A">
      <w:r w:rsidRPr="004A2A3A">
        <w:t xml:space="preserve">Privacy impacts must be assessed in terms of both actual overlooking and the perception of overlooking. Elevated balconies and communal terraces can produce a persistent sense of being observed, even where some direct sightlines are limited. That perception can materially reduce how neighbouring gardens and patios feel when </w:t>
      </w:r>
      <w:proofErr w:type="gramStart"/>
      <w:r w:rsidRPr="004A2A3A">
        <w:t>used, and</w:t>
      </w:r>
      <w:proofErr w:type="gramEnd"/>
      <w:r w:rsidRPr="004A2A3A">
        <w:t xml:space="preserve"> can affect their practical enjoyment.</w:t>
      </w:r>
    </w:p>
    <w:p w14:paraId="05B37C62" w14:textId="5365E7B0" w:rsidR="004A2A3A" w:rsidRPr="004A2A3A" w:rsidRDefault="004A2A3A" w:rsidP="004A2A3A">
      <w:r w:rsidRPr="004A2A3A">
        <w:t xml:space="preserve">Where multiple units have elevated external amenity, the impacts </w:t>
      </w:r>
      <w:r w:rsidR="004E3F4F">
        <w:t>would</w:t>
      </w:r>
      <w:r w:rsidRPr="004A2A3A">
        <w:t xml:space="preserve"> also be cumulative. Even if individual balconies incorporate some screening, the combined number of users and viewpoints can intensify the relationship with neighbouring properties, leading to repeated episodes of overlooking and activity rather than occasional use associated with a single household.</w:t>
      </w:r>
    </w:p>
    <w:p w14:paraId="4141EDDB" w14:textId="271C8D9B" w:rsidR="004A2A3A" w:rsidRDefault="004A2A3A" w:rsidP="00CF6741">
      <w:r w:rsidRPr="004A2A3A">
        <w:lastRenderedPageBreak/>
        <w:t>Given the combined effects of increased height close to boundaries and elevated external amenity provision,</w:t>
      </w:r>
      <w:r w:rsidR="00CF6741">
        <w:t xml:space="preserve"> there are significant concerns relating to the residential amenity impacts of the proposal.</w:t>
      </w:r>
    </w:p>
    <w:p w14:paraId="37DE50D8" w14:textId="6F7A961A" w:rsidR="00654183" w:rsidRPr="00654183" w:rsidRDefault="00654183" w:rsidP="00654183">
      <w:pPr>
        <w:rPr>
          <w:b/>
          <w:bCs/>
        </w:rPr>
      </w:pPr>
      <w:r w:rsidRPr="00654183">
        <w:rPr>
          <w:b/>
          <w:bCs/>
        </w:rPr>
        <w:t>Highways</w:t>
      </w:r>
      <w:r>
        <w:rPr>
          <w:b/>
          <w:bCs/>
        </w:rPr>
        <w:t xml:space="preserve"> and Parking:</w:t>
      </w:r>
    </w:p>
    <w:p w14:paraId="66D0532C" w14:textId="77777777" w:rsidR="00654183" w:rsidRPr="00654183" w:rsidRDefault="00654183" w:rsidP="00654183">
      <w:r w:rsidRPr="00654183">
        <w:t>Local policy expects development to be located and designed in a way that reduces reliance on private car travel and supports sustainable alternatives, with safe access arrangements and suitable mitigation where transport impacts arise. Core Policy 60 sets the overarching sustainable transport objective, and Core Policy 61 requires transport evidence to address the needs of all users through a hierarchy that prioritises disabled people and pedestrians.</w:t>
      </w:r>
    </w:p>
    <w:p w14:paraId="61139D9E" w14:textId="77777777" w:rsidR="00654183" w:rsidRPr="00654183" w:rsidRDefault="00654183" w:rsidP="00654183">
      <w:r w:rsidRPr="00654183">
        <w:t xml:space="preserve">The submitted Transport Statement acknowledges that Angel Lane is constrained, narrowing between buildings, and that footway provision is discontinuous, with some sections recorded as being in a poor state of repair. Those constraints are directly relevant to an older </w:t>
      </w:r>
      <w:proofErr w:type="gramStart"/>
      <w:r w:rsidRPr="00654183">
        <w:t>persons</w:t>
      </w:r>
      <w:proofErr w:type="gramEnd"/>
      <w:r w:rsidRPr="00654183">
        <w:t xml:space="preserve"> scheme, where safe, accessible pedestrian routes to local facilities and bus stops are integral to the stated “independent living” purpose.</w:t>
      </w:r>
    </w:p>
    <w:p w14:paraId="4892A00C" w14:textId="77777777" w:rsidR="00654183" w:rsidRPr="00654183" w:rsidRDefault="00654183" w:rsidP="00654183">
      <w:r w:rsidRPr="00654183">
        <w:t>Parking provision is a central concern. The applicant’s evidence places clear emphasis on minimising parking through the classification applied. The Transport Statement relies on Wiltshire Council’s Car Parking Strategy (LTP3) standards for “sheltered accommodation”, applying the rate of one space per two units plus one space per five units. The Car Parking Strategy distinguishes “sheltered accommodation” from “other retirement homes”, with materially different standards. “Other retirement homes” require one space per unit plus one space per five units, which would generate a substantially higher requirement than the sheltered rate.</w:t>
      </w:r>
    </w:p>
    <w:p w14:paraId="3C12CA8B" w14:textId="77777777" w:rsidR="00654183" w:rsidRPr="00654183" w:rsidRDefault="00654183" w:rsidP="00654183">
      <w:r w:rsidRPr="00654183">
        <w:t>The application description and the Design and Access Statement describe “independent living apartments” (C3) for older persons, with communal facilities and an additional day centre function. That description does not, of itself, establish that the development operates as “sheltered accommodation” in the sense required to justify the lower parking rate. The correct benchmark needs to be based on how the development will operate in practice, including the level of management and support and the likely travel patterns of residents, staff, visitors and service vehicles. On the evidence available, the parking standard applied appears open to challenge and the parking provision should be reassessed against the appropriate category.</w:t>
      </w:r>
    </w:p>
    <w:p w14:paraId="37F11CB3" w14:textId="77777777" w:rsidR="00654183" w:rsidRPr="00654183" w:rsidRDefault="00654183" w:rsidP="00654183">
      <w:r w:rsidRPr="00654183">
        <w:t>The communal and day centre element is particularly important. The Design and Access Statement indicates that communal facilities are intended to facilitate external visiting groups and that the scheme includes a shared community resource in the form of a new day centre for local older persons groups, including those with dementia and wider health issues. This points to a non-residential community component with external attendees and associated servicing and staffing movements.</w:t>
      </w:r>
    </w:p>
    <w:p w14:paraId="37E6CF93" w14:textId="77777777" w:rsidR="00654183" w:rsidRPr="00654183" w:rsidRDefault="00654183" w:rsidP="00654183">
      <w:r w:rsidRPr="00654183">
        <w:t>Despite this, the Transport Statement appears to present the proposal as a conventional C3 older persons scheme, focusing primarily on resident and visitor demand, without a separate parking and trip generation assessment for the day centre and external visiting groups. Reference is made to a minibus dropping off and picking up guests twice per week for the Mere Day Centre, but that does not address staff travel, occasional car arrivals by attendees, servicing peaks, or the accessibility pressures that could arise on surrounding streets at busier times.</w:t>
      </w:r>
    </w:p>
    <w:p w14:paraId="2CB61E5C" w14:textId="77777777" w:rsidR="00654183" w:rsidRPr="00654183" w:rsidRDefault="00654183" w:rsidP="00654183">
      <w:r w:rsidRPr="00654183">
        <w:t xml:space="preserve">Highway safety and pedestrian risk are also material considerations. The Transport Statement identifies three pedestrian-involved collisions within the study area between 2019 and 2023, including a serious collision on Castle Street on 01/10/2022, with an indication that the pedestrian </w:t>
      </w:r>
      <w:r w:rsidRPr="00654183">
        <w:lastRenderedPageBreak/>
        <w:t>may have been crossing away from a formal crossing point. Older residents are more vulnerable to the consequences of collisions, and the recorded pattern should inform a precautionary approach to pedestrian route design, crossing opportunities, and legibility of walking routes, particularly where the scheme’s concept relies on walking access to nearby services and public transport.</w:t>
      </w:r>
    </w:p>
    <w:p w14:paraId="61B76EBC" w14:textId="77777777" w:rsidR="00654183" w:rsidRPr="00654183" w:rsidRDefault="00654183" w:rsidP="00654183">
      <w:r w:rsidRPr="00654183">
        <w:t>National policy also expects development to create safe and accessible environments. The NPPF highways refusal test is commonly applied through the question of whether highway safety impacts would be severe. That does not remove the requirement for a robust, user-specific assessment and deliverable mitigation where the intended occupiers are older people and mobility may be limited.</w:t>
      </w:r>
    </w:p>
    <w:p w14:paraId="2611731C" w14:textId="455F958C" w:rsidR="00654183" w:rsidRPr="004A2A3A" w:rsidRDefault="00654183" w:rsidP="00CF6741">
      <w:r w:rsidRPr="00654183">
        <w:t>Taken together, the constrained local street environment, discontinuous footways, the recorded pedestrian collision history, and the operational implications of the day centre element indicate that the submitted transport package does not yet demonstrate a complete and policy-compliant assessment of operational impacts, nor does it provide a clear mitigation strategy that secures safe, accessible pedestrian movement and an appropriate level of parking for the development as proposed.</w:t>
      </w:r>
    </w:p>
    <w:p w14:paraId="29B52B7E" w14:textId="77777777" w:rsidR="00461ED4" w:rsidRDefault="00461ED4" w:rsidP="00461ED4">
      <w:pPr>
        <w:rPr>
          <w:b/>
          <w:bCs/>
        </w:rPr>
      </w:pPr>
      <w:r w:rsidRPr="00461ED4">
        <w:rPr>
          <w:b/>
          <w:bCs/>
        </w:rPr>
        <w:t>Conclusion</w:t>
      </w:r>
    </w:p>
    <w:p w14:paraId="2FD668E5" w14:textId="77777777" w:rsidR="00EC1DA7" w:rsidRPr="00EC1DA7" w:rsidRDefault="00EC1DA7" w:rsidP="00EC1DA7">
      <w:r w:rsidRPr="00EC1DA7">
        <w:t>For the reasons set out above, the proposal fails to demonstrate that it accords with the development plan or that material considerations justify approval.</w:t>
      </w:r>
    </w:p>
    <w:p w14:paraId="4F82F534" w14:textId="77777777" w:rsidR="00EC1DA7" w:rsidRPr="00EC1DA7" w:rsidRDefault="00EC1DA7" w:rsidP="00EC1DA7">
      <w:r w:rsidRPr="00EC1DA7">
        <w:t>First, the application would result in the loss of a long established C2 care home that functions as a rural community facility within a Local Service Centre. Core Policy 49 establishes a clear, evidence led approach to resisting the loss of such facilities unless robust and transparent tests are satisfied, including a proper sequential exploration of community reuse supported by policy compliant marketing and viability evidence. No comprehensive, verifiable package has been provided that would allow the Council to conclude that the facility is no longer needed, no longer viable, or incapable of continued community operation. The proposal therefore conflicts with Core Policy 49, and it also undermines the objectives of Core Policy 46 which seek to meet the needs of older and vulnerable people through a choice of accommodation and care related provision.</w:t>
      </w:r>
    </w:p>
    <w:p w14:paraId="6E05A7D3" w14:textId="77777777" w:rsidR="00EC1DA7" w:rsidRPr="00EC1DA7" w:rsidRDefault="00EC1DA7" w:rsidP="00EC1DA7">
      <w:r w:rsidRPr="00EC1DA7">
        <w:t>Second, the site’s position within the Mere Conservation Area engages the statutory duty under section 72(1) of the Planning (Listed Buildings and Conservation Areas) Act 1990. The evidence acknowledges that height and massing are central to the assessment and indicates that harm is engaged. In those circumstances, the decision maker must give considerable weight to the conservation area’s significance and must be satisfied, on the basis of robust townscape evidence and a suitably responsive design approach, that the proposal preserves or enhances the character or appearance of the area. On the material submitted, that test has not been met and the proposal conflicts with Core Policy 58 and the statutory duty.</w:t>
      </w:r>
    </w:p>
    <w:p w14:paraId="6A0444FB" w14:textId="77777777" w:rsidR="00EC1DA7" w:rsidRPr="00EC1DA7" w:rsidRDefault="00EC1DA7" w:rsidP="00EC1DA7">
      <w:r w:rsidRPr="00EC1DA7">
        <w:t>Third, the scheme raises unresolved residential amenity impacts arising from increased height and massing near boundaries and the inclusion of elevated external amenity space, balconies and communal areas. The combined physical and operational effects are capable of producing material harm through enclosure, disturbance, and the perception of overlooking, contrary to Core Policy 57 and national policy expectations for a high standard of amenity.</w:t>
      </w:r>
    </w:p>
    <w:p w14:paraId="40D750C9" w14:textId="6ED7400C" w:rsidR="00EC1DA7" w:rsidRPr="00EC1DA7" w:rsidRDefault="00EC1DA7" w:rsidP="00EC1DA7">
      <w:r w:rsidRPr="00EC1DA7">
        <w:t xml:space="preserve">Finally, the transport and parking evidence does not demonstrate that the development has been assessed on a complete operational basis. The constrained street environment, discontinuous pedestrian provision and the scheme’s reliance on walkable access are particularly sensitive for older occupiers. In addition, the day centre and external visiting groups element introduces a further layer </w:t>
      </w:r>
      <w:r w:rsidRPr="00EC1DA7">
        <w:lastRenderedPageBreak/>
        <w:t>of trip generation and parking demand that requires a discrete assessment. The choice of parking standard applied remains open to challenge on the description and operational characteristics presented. In this form, the proposal has not shown compliance with Core Policies 60 and 61 or provided a clear, secured mitigation strategy.</w:t>
      </w:r>
    </w:p>
    <w:p w14:paraId="7779BD9E" w14:textId="0A472B55" w:rsidR="000B7045" w:rsidRPr="00461ED4" w:rsidRDefault="00EC1DA7" w:rsidP="00461ED4">
      <w:r w:rsidRPr="00EC1DA7">
        <w:t>Accordingly, the application should be refused.</w:t>
      </w:r>
    </w:p>
    <w:sectPr w:rsidR="000B7045" w:rsidRPr="00461E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A2FBE" w14:textId="77777777" w:rsidR="001A2123" w:rsidRDefault="001A2123" w:rsidP="00B462FF">
      <w:pPr>
        <w:spacing w:after="0" w:line="240" w:lineRule="auto"/>
      </w:pPr>
      <w:r>
        <w:separator/>
      </w:r>
    </w:p>
  </w:endnote>
  <w:endnote w:type="continuationSeparator" w:id="0">
    <w:p w14:paraId="18368834" w14:textId="77777777" w:rsidR="001A2123" w:rsidRDefault="001A2123" w:rsidP="00B462FF">
      <w:pPr>
        <w:spacing w:after="0" w:line="240" w:lineRule="auto"/>
      </w:pPr>
      <w:r>
        <w:continuationSeparator/>
      </w:r>
    </w:p>
  </w:endnote>
  <w:endnote w:type="continuationNotice" w:id="1">
    <w:p w14:paraId="3C9B71BD" w14:textId="77777777" w:rsidR="001A2123" w:rsidRDefault="001A21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CF51F" w14:textId="77777777" w:rsidR="001A2123" w:rsidRDefault="001A2123" w:rsidP="00B462FF">
      <w:pPr>
        <w:spacing w:after="0" w:line="240" w:lineRule="auto"/>
      </w:pPr>
      <w:r>
        <w:separator/>
      </w:r>
    </w:p>
  </w:footnote>
  <w:footnote w:type="continuationSeparator" w:id="0">
    <w:p w14:paraId="5207BBF6" w14:textId="77777777" w:rsidR="001A2123" w:rsidRDefault="001A2123" w:rsidP="00B462FF">
      <w:pPr>
        <w:spacing w:after="0" w:line="240" w:lineRule="auto"/>
      </w:pPr>
      <w:r>
        <w:continuationSeparator/>
      </w:r>
    </w:p>
  </w:footnote>
  <w:footnote w:type="continuationNotice" w:id="1">
    <w:p w14:paraId="7F43F2DD" w14:textId="77777777" w:rsidR="001A2123" w:rsidRDefault="001A21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318"/>
    <w:multiLevelType w:val="hybridMultilevel"/>
    <w:tmpl w:val="6B08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307D3"/>
    <w:multiLevelType w:val="multilevel"/>
    <w:tmpl w:val="C8029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D074CF"/>
    <w:multiLevelType w:val="multilevel"/>
    <w:tmpl w:val="0D76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F2346B"/>
    <w:multiLevelType w:val="hybridMultilevel"/>
    <w:tmpl w:val="1CBE0570"/>
    <w:lvl w:ilvl="0" w:tplc="A56802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160006"/>
    <w:multiLevelType w:val="hybridMultilevel"/>
    <w:tmpl w:val="4D0E9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40560C"/>
    <w:multiLevelType w:val="multilevel"/>
    <w:tmpl w:val="9520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E5D78"/>
    <w:multiLevelType w:val="hybridMultilevel"/>
    <w:tmpl w:val="FB3CB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AA3576"/>
    <w:multiLevelType w:val="multilevel"/>
    <w:tmpl w:val="5720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176FCC"/>
    <w:multiLevelType w:val="hybridMultilevel"/>
    <w:tmpl w:val="63D2D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5C3D75"/>
    <w:multiLevelType w:val="multilevel"/>
    <w:tmpl w:val="EF44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DB69C0"/>
    <w:multiLevelType w:val="multilevel"/>
    <w:tmpl w:val="6F20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0170267">
    <w:abstractNumId w:val="4"/>
  </w:num>
  <w:num w:numId="2" w16cid:durableId="108087929">
    <w:abstractNumId w:val="6"/>
  </w:num>
  <w:num w:numId="3" w16cid:durableId="1474711375">
    <w:abstractNumId w:val="3"/>
  </w:num>
  <w:num w:numId="4" w16cid:durableId="1837769572">
    <w:abstractNumId w:val="8"/>
  </w:num>
  <w:num w:numId="5" w16cid:durableId="1738432855">
    <w:abstractNumId w:val="0"/>
  </w:num>
  <w:num w:numId="6" w16cid:durableId="1042485518">
    <w:abstractNumId w:val="7"/>
  </w:num>
  <w:num w:numId="7" w16cid:durableId="991368207">
    <w:abstractNumId w:val="1"/>
  </w:num>
  <w:num w:numId="8" w16cid:durableId="356854300">
    <w:abstractNumId w:val="5"/>
  </w:num>
  <w:num w:numId="9" w16cid:durableId="1597131056">
    <w:abstractNumId w:val="2"/>
  </w:num>
  <w:num w:numId="10" w16cid:durableId="461197761">
    <w:abstractNumId w:val="10"/>
  </w:num>
  <w:num w:numId="11" w16cid:durableId="1688395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6" w:nlCheck="1" w:checkStyle="0"/>
  <w:activeWritingStyle w:appName="MSWord" w:lang="en-GB"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2FF"/>
    <w:rsid w:val="00004264"/>
    <w:rsid w:val="000111BE"/>
    <w:rsid w:val="000127B4"/>
    <w:rsid w:val="00013EFB"/>
    <w:rsid w:val="0001728D"/>
    <w:rsid w:val="0002382D"/>
    <w:rsid w:val="00024BE8"/>
    <w:rsid w:val="00024D8B"/>
    <w:rsid w:val="00031055"/>
    <w:rsid w:val="000352AE"/>
    <w:rsid w:val="00044067"/>
    <w:rsid w:val="00044B7C"/>
    <w:rsid w:val="0006002D"/>
    <w:rsid w:val="00060755"/>
    <w:rsid w:val="00063F8B"/>
    <w:rsid w:val="00064C2E"/>
    <w:rsid w:val="00070FB6"/>
    <w:rsid w:val="00075E9C"/>
    <w:rsid w:val="000774F5"/>
    <w:rsid w:val="00087831"/>
    <w:rsid w:val="00092971"/>
    <w:rsid w:val="00093BE4"/>
    <w:rsid w:val="000A0521"/>
    <w:rsid w:val="000A1974"/>
    <w:rsid w:val="000A1C0B"/>
    <w:rsid w:val="000A2D12"/>
    <w:rsid w:val="000A3151"/>
    <w:rsid w:val="000A3FC6"/>
    <w:rsid w:val="000A420A"/>
    <w:rsid w:val="000A474C"/>
    <w:rsid w:val="000B4143"/>
    <w:rsid w:val="000B7045"/>
    <w:rsid w:val="000C471A"/>
    <w:rsid w:val="000C5046"/>
    <w:rsid w:val="000D5C81"/>
    <w:rsid w:val="000D65C1"/>
    <w:rsid w:val="000E4F18"/>
    <w:rsid w:val="000E7C1B"/>
    <w:rsid w:val="000E7EED"/>
    <w:rsid w:val="000F6D9E"/>
    <w:rsid w:val="00102D30"/>
    <w:rsid w:val="00102D3F"/>
    <w:rsid w:val="00105900"/>
    <w:rsid w:val="0010676A"/>
    <w:rsid w:val="00110006"/>
    <w:rsid w:val="00111BE9"/>
    <w:rsid w:val="001135C5"/>
    <w:rsid w:val="001238B9"/>
    <w:rsid w:val="0012390D"/>
    <w:rsid w:val="00123DBA"/>
    <w:rsid w:val="001303A0"/>
    <w:rsid w:val="00132F89"/>
    <w:rsid w:val="001420A8"/>
    <w:rsid w:val="00146745"/>
    <w:rsid w:val="00147581"/>
    <w:rsid w:val="00153C8A"/>
    <w:rsid w:val="00155FCF"/>
    <w:rsid w:val="00156101"/>
    <w:rsid w:val="0016026E"/>
    <w:rsid w:val="001645B8"/>
    <w:rsid w:val="001652E1"/>
    <w:rsid w:val="0018139C"/>
    <w:rsid w:val="001826F4"/>
    <w:rsid w:val="00183C8E"/>
    <w:rsid w:val="00183E11"/>
    <w:rsid w:val="001908FF"/>
    <w:rsid w:val="00196E34"/>
    <w:rsid w:val="001A2123"/>
    <w:rsid w:val="001A29A0"/>
    <w:rsid w:val="001A6F42"/>
    <w:rsid w:val="001A6FBD"/>
    <w:rsid w:val="001B18AD"/>
    <w:rsid w:val="001C4994"/>
    <w:rsid w:val="001C6EF1"/>
    <w:rsid w:val="001E32AD"/>
    <w:rsid w:val="001E66D5"/>
    <w:rsid w:val="001F6A83"/>
    <w:rsid w:val="001F6E55"/>
    <w:rsid w:val="00200A17"/>
    <w:rsid w:val="00200DFB"/>
    <w:rsid w:val="00200FE4"/>
    <w:rsid w:val="00205A1C"/>
    <w:rsid w:val="00205BF0"/>
    <w:rsid w:val="002060AC"/>
    <w:rsid w:val="00211369"/>
    <w:rsid w:val="0021602A"/>
    <w:rsid w:val="002213BB"/>
    <w:rsid w:val="00223940"/>
    <w:rsid w:val="0022423C"/>
    <w:rsid w:val="00224C12"/>
    <w:rsid w:val="002317A1"/>
    <w:rsid w:val="00233B80"/>
    <w:rsid w:val="00235AE9"/>
    <w:rsid w:val="00235DEF"/>
    <w:rsid w:val="0024111B"/>
    <w:rsid w:val="00245220"/>
    <w:rsid w:val="002466A3"/>
    <w:rsid w:val="00246975"/>
    <w:rsid w:val="002519CF"/>
    <w:rsid w:val="00263D7A"/>
    <w:rsid w:val="00265E39"/>
    <w:rsid w:val="00270211"/>
    <w:rsid w:val="002703C6"/>
    <w:rsid w:val="00271B09"/>
    <w:rsid w:val="00272BD9"/>
    <w:rsid w:val="00274A80"/>
    <w:rsid w:val="002768EF"/>
    <w:rsid w:val="00276DF3"/>
    <w:rsid w:val="002801F4"/>
    <w:rsid w:val="00281971"/>
    <w:rsid w:val="002824A0"/>
    <w:rsid w:val="00282DE8"/>
    <w:rsid w:val="002833B2"/>
    <w:rsid w:val="00284697"/>
    <w:rsid w:val="002848B7"/>
    <w:rsid w:val="0029234B"/>
    <w:rsid w:val="0029351B"/>
    <w:rsid w:val="0029482C"/>
    <w:rsid w:val="00295FEF"/>
    <w:rsid w:val="0029632E"/>
    <w:rsid w:val="0029707B"/>
    <w:rsid w:val="0029790B"/>
    <w:rsid w:val="002979BC"/>
    <w:rsid w:val="002A7747"/>
    <w:rsid w:val="002B15F4"/>
    <w:rsid w:val="002B394F"/>
    <w:rsid w:val="002B3981"/>
    <w:rsid w:val="002B3AAD"/>
    <w:rsid w:val="002B4110"/>
    <w:rsid w:val="002B5B98"/>
    <w:rsid w:val="002C0233"/>
    <w:rsid w:val="002C4A66"/>
    <w:rsid w:val="002D3CCF"/>
    <w:rsid w:val="002D4012"/>
    <w:rsid w:val="002D495D"/>
    <w:rsid w:val="002E3412"/>
    <w:rsid w:val="002E5687"/>
    <w:rsid w:val="002F2B2A"/>
    <w:rsid w:val="00300BAB"/>
    <w:rsid w:val="0030164A"/>
    <w:rsid w:val="003028EA"/>
    <w:rsid w:val="003046AD"/>
    <w:rsid w:val="003067A0"/>
    <w:rsid w:val="00310072"/>
    <w:rsid w:val="00310B5C"/>
    <w:rsid w:val="00313350"/>
    <w:rsid w:val="00321DCF"/>
    <w:rsid w:val="00322FD3"/>
    <w:rsid w:val="003231FE"/>
    <w:rsid w:val="0032612E"/>
    <w:rsid w:val="00326284"/>
    <w:rsid w:val="0032631F"/>
    <w:rsid w:val="00326723"/>
    <w:rsid w:val="00332012"/>
    <w:rsid w:val="00336849"/>
    <w:rsid w:val="00343FF3"/>
    <w:rsid w:val="0034526B"/>
    <w:rsid w:val="00346158"/>
    <w:rsid w:val="003476BC"/>
    <w:rsid w:val="00350EC9"/>
    <w:rsid w:val="00351CEE"/>
    <w:rsid w:val="00351FC7"/>
    <w:rsid w:val="003534D3"/>
    <w:rsid w:val="00353E6D"/>
    <w:rsid w:val="003574C9"/>
    <w:rsid w:val="003606B7"/>
    <w:rsid w:val="00364372"/>
    <w:rsid w:val="00366DB1"/>
    <w:rsid w:val="0037006E"/>
    <w:rsid w:val="00371553"/>
    <w:rsid w:val="003800E7"/>
    <w:rsid w:val="0038462D"/>
    <w:rsid w:val="0038630B"/>
    <w:rsid w:val="003911BE"/>
    <w:rsid w:val="003952C2"/>
    <w:rsid w:val="003A4A8F"/>
    <w:rsid w:val="003B32CE"/>
    <w:rsid w:val="003B3B3A"/>
    <w:rsid w:val="003B6385"/>
    <w:rsid w:val="003B7D53"/>
    <w:rsid w:val="003C0B9C"/>
    <w:rsid w:val="003D1EED"/>
    <w:rsid w:val="003E0545"/>
    <w:rsid w:val="003E0633"/>
    <w:rsid w:val="003E525E"/>
    <w:rsid w:val="003E60E9"/>
    <w:rsid w:val="003F1E69"/>
    <w:rsid w:val="003F3065"/>
    <w:rsid w:val="003F3898"/>
    <w:rsid w:val="003F4AD0"/>
    <w:rsid w:val="0040059F"/>
    <w:rsid w:val="00401E8E"/>
    <w:rsid w:val="0040225C"/>
    <w:rsid w:val="0040665A"/>
    <w:rsid w:val="004074BF"/>
    <w:rsid w:val="00410135"/>
    <w:rsid w:val="004124A4"/>
    <w:rsid w:val="004146AC"/>
    <w:rsid w:val="0042003F"/>
    <w:rsid w:val="004206DF"/>
    <w:rsid w:val="0042382F"/>
    <w:rsid w:val="00424E79"/>
    <w:rsid w:val="00433779"/>
    <w:rsid w:val="00434B13"/>
    <w:rsid w:val="0044205B"/>
    <w:rsid w:val="004437B3"/>
    <w:rsid w:val="00454788"/>
    <w:rsid w:val="004556EA"/>
    <w:rsid w:val="00456673"/>
    <w:rsid w:val="00456B23"/>
    <w:rsid w:val="0046099A"/>
    <w:rsid w:val="00461ED4"/>
    <w:rsid w:val="00463161"/>
    <w:rsid w:val="00466E7D"/>
    <w:rsid w:val="004727FC"/>
    <w:rsid w:val="00473BB8"/>
    <w:rsid w:val="00474BC6"/>
    <w:rsid w:val="004808E8"/>
    <w:rsid w:val="00480BCC"/>
    <w:rsid w:val="00485A07"/>
    <w:rsid w:val="00485FDF"/>
    <w:rsid w:val="00487EF7"/>
    <w:rsid w:val="00491ED1"/>
    <w:rsid w:val="004943C2"/>
    <w:rsid w:val="00494EFF"/>
    <w:rsid w:val="00495C89"/>
    <w:rsid w:val="00496902"/>
    <w:rsid w:val="004A2A3A"/>
    <w:rsid w:val="004A2C00"/>
    <w:rsid w:val="004A2E4C"/>
    <w:rsid w:val="004A2FC0"/>
    <w:rsid w:val="004A561C"/>
    <w:rsid w:val="004A7127"/>
    <w:rsid w:val="004B0D73"/>
    <w:rsid w:val="004B3ACD"/>
    <w:rsid w:val="004B5B23"/>
    <w:rsid w:val="004B5D39"/>
    <w:rsid w:val="004C03E2"/>
    <w:rsid w:val="004D19E4"/>
    <w:rsid w:val="004E0385"/>
    <w:rsid w:val="004E2A2C"/>
    <w:rsid w:val="004E3F4F"/>
    <w:rsid w:val="004E53E8"/>
    <w:rsid w:val="004E7857"/>
    <w:rsid w:val="004F6BE4"/>
    <w:rsid w:val="005054CC"/>
    <w:rsid w:val="00513671"/>
    <w:rsid w:val="0051595D"/>
    <w:rsid w:val="0051648C"/>
    <w:rsid w:val="00526AFE"/>
    <w:rsid w:val="00532B0F"/>
    <w:rsid w:val="00534B39"/>
    <w:rsid w:val="005355DC"/>
    <w:rsid w:val="00542319"/>
    <w:rsid w:val="00550D21"/>
    <w:rsid w:val="00554EBC"/>
    <w:rsid w:val="005562E5"/>
    <w:rsid w:val="00557170"/>
    <w:rsid w:val="00562571"/>
    <w:rsid w:val="005636C5"/>
    <w:rsid w:val="00566C3B"/>
    <w:rsid w:val="00570862"/>
    <w:rsid w:val="00582560"/>
    <w:rsid w:val="00582A08"/>
    <w:rsid w:val="0058694E"/>
    <w:rsid w:val="005904CC"/>
    <w:rsid w:val="00596DA9"/>
    <w:rsid w:val="005975D0"/>
    <w:rsid w:val="005A065F"/>
    <w:rsid w:val="005A31CE"/>
    <w:rsid w:val="005A3313"/>
    <w:rsid w:val="005A3C99"/>
    <w:rsid w:val="005A4E9F"/>
    <w:rsid w:val="005A6A55"/>
    <w:rsid w:val="005B1405"/>
    <w:rsid w:val="005B7494"/>
    <w:rsid w:val="005C4E61"/>
    <w:rsid w:val="005D1060"/>
    <w:rsid w:val="005D44D1"/>
    <w:rsid w:val="005D690E"/>
    <w:rsid w:val="005F536F"/>
    <w:rsid w:val="005F7B62"/>
    <w:rsid w:val="00601027"/>
    <w:rsid w:val="00604F39"/>
    <w:rsid w:val="00606DE4"/>
    <w:rsid w:val="006142D6"/>
    <w:rsid w:val="00614885"/>
    <w:rsid w:val="00615C00"/>
    <w:rsid w:val="00620A8A"/>
    <w:rsid w:val="00620F11"/>
    <w:rsid w:val="006210BD"/>
    <w:rsid w:val="00622A20"/>
    <w:rsid w:val="00626115"/>
    <w:rsid w:val="00626263"/>
    <w:rsid w:val="0063205B"/>
    <w:rsid w:val="00634265"/>
    <w:rsid w:val="0063584B"/>
    <w:rsid w:val="00637C35"/>
    <w:rsid w:val="00640C42"/>
    <w:rsid w:val="00650D95"/>
    <w:rsid w:val="006534BC"/>
    <w:rsid w:val="00654183"/>
    <w:rsid w:val="00657D21"/>
    <w:rsid w:val="006603C4"/>
    <w:rsid w:val="006633B9"/>
    <w:rsid w:val="00664305"/>
    <w:rsid w:val="006663AE"/>
    <w:rsid w:val="006730E8"/>
    <w:rsid w:val="006821EB"/>
    <w:rsid w:val="00683874"/>
    <w:rsid w:val="0068397D"/>
    <w:rsid w:val="006840BB"/>
    <w:rsid w:val="006841F5"/>
    <w:rsid w:val="00684983"/>
    <w:rsid w:val="00686FFA"/>
    <w:rsid w:val="00690F9B"/>
    <w:rsid w:val="0069700D"/>
    <w:rsid w:val="006B0C24"/>
    <w:rsid w:val="006B2ABD"/>
    <w:rsid w:val="006C67BA"/>
    <w:rsid w:val="006D1510"/>
    <w:rsid w:val="006D2E0C"/>
    <w:rsid w:val="006D66E5"/>
    <w:rsid w:val="006D708C"/>
    <w:rsid w:val="006E1467"/>
    <w:rsid w:val="006E493C"/>
    <w:rsid w:val="006E66BF"/>
    <w:rsid w:val="006F22D5"/>
    <w:rsid w:val="006F2445"/>
    <w:rsid w:val="006F60B1"/>
    <w:rsid w:val="007017CD"/>
    <w:rsid w:val="00701AB4"/>
    <w:rsid w:val="00707D9E"/>
    <w:rsid w:val="00710C07"/>
    <w:rsid w:val="00714A20"/>
    <w:rsid w:val="00720A5E"/>
    <w:rsid w:val="007243F6"/>
    <w:rsid w:val="007278FB"/>
    <w:rsid w:val="007324C0"/>
    <w:rsid w:val="00735B81"/>
    <w:rsid w:val="00737537"/>
    <w:rsid w:val="00737BAC"/>
    <w:rsid w:val="00742CC3"/>
    <w:rsid w:val="00745816"/>
    <w:rsid w:val="0075046F"/>
    <w:rsid w:val="00755F84"/>
    <w:rsid w:val="00756F3A"/>
    <w:rsid w:val="007621C7"/>
    <w:rsid w:val="00763BA9"/>
    <w:rsid w:val="00770965"/>
    <w:rsid w:val="00775FFF"/>
    <w:rsid w:val="00777FB0"/>
    <w:rsid w:val="0078548C"/>
    <w:rsid w:val="00785AE8"/>
    <w:rsid w:val="0079264E"/>
    <w:rsid w:val="007932CB"/>
    <w:rsid w:val="00794470"/>
    <w:rsid w:val="00794C09"/>
    <w:rsid w:val="007A1E02"/>
    <w:rsid w:val="007A4280"/>
    <w:rsid w:val="007B12C8"/>
    <w:rsid w:val="007B4BDA"/>
    <w:rsid w:val="007B7C6C"/>
    <w:rsid w:val="007C5B6D"/>
    <w:rsid w:val="007C670A"/>
    <w:rsid w:val="007D2DA1"/>
    <w:rsid w:val="007E1447"/>
    <w:rsid w:val="007E2EC4"/>
    <w:rsid w:val="007E4129"/>
    <w:rsid w:val="007E69DF"/>
    <w:rsid w:val="007E7E50"/>
    <w:rsid w:val="007F0C1A"/>
    <w:rsid w:val="007F563B"/>
    <w:rsid w:val="00800AD9"/>
    <w:rsid w:val="00804330"/>
    <w:rsid w:val="00811D89"/>
    <w:rsid w:val="00812F91"/>
    <w:rsid w:val="008217C0"/>
    <w:rsid w:val="00823004"/>
    <w:rsid w:val="00825CA0"/>
    <w:rsid w:val="00833CAD"/>
    <w:rsid w:val="008427D7"/>
    <w:rsid w:val="008431EF"/>
    <w:rsid w:val="008539B9"/>
    <w:rsid w:val="008632B4"/>
    <w:rsid w:val="00863E06"/>
    <w:rsid w:val="00863FF7"/>
    <w:rsid w:val="0086434E"/>
    <w:rsid w:val="00873EA9"/>
    <w:rsid w:val="00874A55"/>
    <w:rsid w:val="00881D63"/>
    <w:rsid w:val="00883396"/>
    <w:rsid w:val="008875E7"/>
    <w:rsid w:val="008A1BE3"/>
    <w:rsid w:val="008A1DF1"/>
    <w:rsid w:val="008A31C3"/>
    <w:rsid w:val="008C1105"/>
    <w:rsid w:val="008C1B09"/>
    <w:rsid w:val="008C2B03"/>
    <w:rsid w:val="008C335F"/>
    <w:rsid w:val="008C5B6C"/>
    <w:rsid w:val="008C6A43"/>
    <w:rsid w:val="008C6BE1"/>
    <w:rsid w:val="008D0BCD"/>
    <w:rsid w:val="008D138A"/>
    <w:rsid w:val="008D1E47"/>
    <w:rsid w:val="008D3E28"/>
    <w:rsid w:val="008D5D41"/>
    <w:rsid w:val="008D7481"/>
    <w:rsid w:val="008E018E"/>
    <w:rsid w:val="008E09B4"/>
    <w:rsid w:val="008E390D"/>
    <w:rsid w:val="008E47C7"/>
    <w:rsid w:val="008E5E11"/>
    <w:rsid w:val="008F1A41"/>
    <w:rsid w:val="008F2089"/>
    <w:rsid w:val="008F269D"/>
    <w:rsid w:val="008F3103"/>
    <w:rsid w:val="008F3363"/>
    <w:rsid w:val="00900A0D"/>
    <w:rsid w:val="00901D6B"/>
    <w:rsid w:val="00902826"/>
    <w:rsid w:val="00902C6A"/>
    <w:rsid w:val="00903256"/>
    <w:rsid w:val="00904AD0"/>
    <w:rsid w:val="00910878"/>
    <w:rsid w:val="00911A23"/>
    <w:rsid w:val="00914053"/>
    <w:rsid w:val="009148F5"/>
    <w:rsid w:val="00914F13"/>
    <w:rsid w:val="00921D5C"/>
    <w:rsid w:val="0092292B"/>
    <w:rsid w:val="0092367C"/>
    <w:rsid w:val="00934C71"/>
    <w:rsid w:val="00940B72"/>
    <w:rsid w:val="00943288"/>
    <w:rsid w:val="00944102"/>
    <w:rsid w:val="009464DD"/>
    <w:rsid w:val="00946E7D"/>
    <w:rsid w:val="0095075B"/>
    <w:rsid w:val="00952C65"/>
    <w:rsid w:val="009540F7"/>
    <w:rsid w:val="00955E1D"/>
    <w:rsid w:val="00962C72"/>
    <w:rsid w:val="0096378A"/>
    <w:rsid w:val="00965185"/>
    <w:rsid w:val="00965271"/>
    <w:rsid w:val="00970678"/>
    <w:rsid w:val="00972807"/>
    <w:rsid w:val="009777B6"/>
    <w:rsid w:val="00980397"/>
    <w:rsid w:val="00983725"/>
    <w:rsid w:val="00985DA9"/>
    <w:rsid w:val="00987CDB"/>
    <w:rsid w:val="00990AED"/>
    <w:rsid w:val="00994487"/>
    <w:rsid w:val="00997C25"/>
    <w:rsid w:val="009A1AF2"/>
    <w:rsid w:val="009A7447"/>
    <w:rsid w:val="009B2338"/>
    <w:rsid w:val="009B74FE"/>
    <w:rsid w:val="009C0B26"/>
    <w:rsid w:val="009C1418"/>
    <w:rsid w:val="009C463D"/>
    <w:rsid w:val="009C50D9"/>
    <w:rsid w:val="009D0445"/>
    <w:rsid w:val="009D3413"/>
    <w:rsid w:val="009D7146"/>
    <w:rsid w:val="009E07EF"/>
    <w:rsid w:val="009E335A"/>
    <w:rsid w:val="009F3260"/>
    <w:rsid w:val="009F49FC"/>
    <w:rsid w:val="009F54FC"/>
    <w:rsid w:val="009F5CD9"/>
    <w:rsid w:val="00A031FB"/>
    <w:rsid w:val="00A04884"/>
    <w:rsid w:val="00A07F50"/>
    <w:rsid w:val="00A11908"/>
    <w:rsid w:val="00A15719"/>
    <w:rsid w:val="00A16218"/>
    <w:rsid w:val="00A21121"/>
    <w:rsid w:val="00A21D7C"/>
    <w:rsid w:val="00A22341"/>
    <w:rsid w:val="00A25A16"/>
    <w:rsid w:val="00A26AE8"/>
    <w:rsid w:val="00A35291"/>
    <w:rsid w:val="00A35446"/>
    <w:rsid w:val="00A46CFA"/>
    <w:rsid w:val="00A55912"/>
    <w:rsid w:val="00A61FB8"/>
    <w:rsid w:val="00A6760B"/>
    <w:rsid w:val="00A7771F"/>
    <w:rsid w:val="00A82C96"/>
    <w:rsid w:val="00A83ACF"/>
    <w:rsid w:val="00A84F6D"/>
    <w:rsid w:val="00A86399"/>
    <w:rsid w:val="00A875DD"/>
    <w:rsid w:val="00A90B64"/>
    <w:rsid w:val="00A93597"/>
    <w:rsid w:val="00AC1D0F"/>
    <w:rsid w:val="00AC50BF"/>
    <w:rsid w:val="00AD05CA"/>
    <w:rsid w:val="00AD3139"/>
    <w:rsid w:val="00AD6D3C"/>
    <w:rsid w:val="00AD769E"/>
    <w:rsid w:val="00AE0186"/>
    <w:rsid w:val="00AE586E"/>
    <w:rsid w:val="00AF19EF"/>
    <w:rsid w:val="00AF5C62"/>
    <w:rsid w:val="00B00AB2"/>
    <w:rsid w:val="00B06520"/>
    <w:rsid w:val="00B07A7D"/>
    <w:rsid w:val="00B10182"/>
    <w:rsid w:val="00B13D9F"/>
    <w:rsid w:val="00B20B27"/>
    <w:rsid w:val="00B221F7"/>
    <w:rsid w:val="00B2552A"/>
    <w:rsid w:val="00B2727C"/>
    <w:rsid w:val="00B32864"/>
    <w:rsid w:val="00B33B99"/>
    <w:rsid w:val="00B340A3"/>
    <w:rsid w:val="00B40584"/>
    <w:rsid w:val="00B4406F"/>
    <w:rsid w:val="00B462FF"/>
    <w:rsid w:val="00B5146C"/>
    <w:rsid w:val="00B55169"/>
    <w:rsid w:val="00B651C3"/>
    <w:rsid w:val="00B66299"/>
    <w:rsid w:val="00B70147"/>
    <w:rsid w:val="00B73FCB"/>
    <w:rsid w:val="00B84BFA"/>
    <w:rsid w:val="00B864F9"/>
    <w:rsid w:val="00B91F8D"/>
    <w:rsid w:val="00B92473"/>
    <w:rsid w:val="00B948C0"/>
    <w:rsid w:val="00BA11A4"/>
    <w:rsid w:val="00BA1824"/>
    <w:rsid w:val="00BA1E17"/>
    <w:rsid w:val="00BB06C0"/>
    <w:rsid w:val="00BC185C"/>
    <w:rsid w:val="00BC1872"/>
    <w:rsid w:val="00BC292A"/>
    <w:rsid w:val="00BC78A3"/>
    <w:rsid w:val="00BD03C0"/>
    <w:rsid w:val="00BD4952"/>
    <w:rsid w:val="00BD4D70"/>
    <w:rsid w:val="00BD5585"/>
    <w:rsid w:val="00BD6563"/>
    <w:rsid w:val="00BD7784"/>
    <w:rsid w:val="00BE4723"/>
    <w:rsid w:val="00BE7FF0"/>
    <w:rsid w:val="00BF4117"/>
    <w:rsid w:val="00BF4AD0"/>
    <w:rsid w:val="00BF7B4F"/>
    <w:rsid w:val="00C05205"/>
    <w:rsid w:val="00C0584F"/>
    <w:rsid w:val="00C07DC5"/>
    <w:rsid w:val="00C1330A"/>
    <w:rsid w:val="00C13FCF"/>
    <w:rsid w:val="00C14674"/>
    <w:rsid w:val="00C20B1C"/>
    <w:rsid w:val="00C223CC"/>
    <w:rsid w:val="00C24E5A"/>
    <w:rsid w:val="00C30313"/>
    <w:rsid w:val="00C317A3"/>
    <w:rsid w:val="00C33F06"/>
    <w:rsid w:val="00C354AB"/>
    <w:rsid w:val="00C40CA0"/>
    <w:rsid w:val="00C415CF"/>
    <w:rsid w:val="00C41D0B"/>
    <w:rsid w:val="00C432D2"/>
    <w:rsid w:val="00C4669B"/>
    <w:rsid w:val="00C512FB"/>
    <w:rsid w:val="00C5423B"/>
    <w:rsid w:val="00C62956"/>
    <w:rsid w:val="00C64A15"/>
    <w:rsid w:val="00C65331"/>
    <w:rsid w:val="00C67818"/>
    <w:rsid w:val="00C7123F"/>
    <w:rsid w:val="00C73944"/>
    <w:rsid w:val="00C73F4B"/>
    <w:rsid w:val="00C748A6"/>
    <w:rsid w:val="00C77EC1"/>
    <w:rsid w:val="00C80AF8"/>
    <w:rsid w:val="00C84D8D"/>
    <w:rsid w:val="00C86C31"/>
    <w:rsid w:val="00C9162E"/>
    <w:rsid w:val="00C91916"/>
    <w:rsid w:val="00C92270"/>
    <w:rsid w:val="00C92940"/>
    <w:rsid w:val="00C93A8B"/>
    <w:rsid w:val="00C95519"/>
    <w:rsid w:val="00C96E76"/>
    <w:rsid w:val="00CA0562"/>
    <w:rsid w:val="00CA0B11"/>
    <w:rsid w:val="00CA277B"/>
    <w:rsid w:val="00CA4775"/>
    <w:rsid w:val="00CA64D2"/>
    <w:rsid w:val="00CB0277"/>
    <w:rsid w:val="00CB06FC"/>
    <w:rsid w:val="00CB0D00"/>
    <w:rsid w:val="00CB44E8"/>
    <w:rsid w:val="00CC4053"/>
    <w:rsid w:val="00CC67AC"/>
    <w:rsid w:val="00CC6D7F"/>
    <w:rsid w:val="00CD30FC"/>
    <w:rsid w:val="00CD4BAC"/>
    <w:rsid w:val="00CD53EB"/>
    <w:rsid w:val="00CD7351"/>
    <w:rsid w:val="00CE33D2"/>
    <w:rsid w:val="00CE50FE"/>
    <w:rsid w:val="00CE7F69"/>
    <w:rsid w:val="00CF186F"/>
    <w:rsid w:val="00CF1880"/>
    <w:rsid w:val="00CF37C5"/>
    <w:rsid w:val="00CF6741"/>
    <w:rsid w:val="00D031A3"/>
    <w:rsid w:val="00D05C97"/>
    <w:rsid w:val="00D06F26"/>
    <w:rsid w:val="00D07862"/>
    <w:rsid w:val="00D10636"/>
    <w:rsid w:val="00D20E27"/>
    <w:rsid w:val="00D211C9"/>
    <w:rsid w:val="00D217A6"/>
    <w:rsid w:val="00D249BB"/>
    <w:rsid w:val="00D2589C"/>
    <w:rsid w:val="00D26D35"/>
    <w:rsid w:val="00D26E89"/>
    <w:rsid w:val="00D308DC"/>
    <w:rsid w:val="00D320F9"/>
    <w:rsid w:val="00D36B18"/>
    <w:rsid w:val="00D45F53"/>
    <w:rsid w:val="00D50C14"/>
    <w:rsid w:val="00D52347"/>
    <w:rsid w:val="00D53074"/>
    <w:rsid w:val="00D60B98"/>
    <w:rsid w:val="00D6300F"/>
    <w:rsid w:val="00D63F6F"/>
    <w:rsid w:val="00D64474"/>
    <w:rsid w:val="00D65536"/>
    <w:rsid w:val="00D655A2"/>
    <w:rsid w:val="00D66622"/>
    <w:rsid w:val="00D74151"/>
    <w:rsid w:val="00D749A8"/>
    <w:rsid w:val="00D81912"/>
    <w:rsid w:val="00D8466C"/>
    <w:rsid w:val="00D92EE9"/>
    <w:rsid w:val="00DA019D"/>
    <w:rsid w:val="00DA5864"/>
    <w:rsid w:val="00DB4EEF"/>
    <w:rsid w:val="00DB7580"/>
    <w:rsid w:val="00DC2288"/>
    <w:rsid w:val="00DC4807"/>
    <w:rsid w:val="00DC615C"/>
    <w:rsid w:val="00DD05E2"/>
    <w:rsid w:val="00DE133E"/>
    <w:rsid w:val="00DE1C55"/>
    <w:rsid w:val="00DE245D"/>
    <w:rsid w:val="00DE52AF"/>
    <w:rsid w:val="00DE7AB2"/>
    <w:rsid w:val="00DF051E"/>
    <w:rsid w:val="00DF417F"/>
    <w:rsid w:val="00DF4A6E"/>
    <w:rsid w:val="00DF7214"/>
    <w:rsid w:val="00DF7A42"/>
    <w:rsid w:val="00E054CA"/>
    <w:rsid w:val="00E067E2"/>
    <w:rsid w:val="00E1020D"/>
    <w:rsid w:val="00E13FF9"/>
    <w:rsid w:val="00E17DF9"/>
    <w:rsid w:val="00E23740"/>
    <w:rsid w:val="00E243AC"/>
    <w:rsid w:val="00E2479D"/>
    <w:rsid w:val="00E316BC"/>
    <w:rsid w:val="00E37CB6"/>
    <w:rsid w:val="00E41EA3"/>
    <w:rsid w:val="00E45C93"/>
    <w:rsid w:val="00E45E64"/>
    <w:rsid w:val="00E5350B"/>
    <w:rsid w:val="00E53CCC"/>
    <w:rsid w:val="00E55EAF"/>
    <w:rsid w:val="00E571E1"/>
    <w:rsid w:val="00E57B8F"/>
    <w:rsid w:val="00E6101F"/>
    <w:rsid w:val="00E62BE8"/>
    <w:rsid w:val="00E67FA4"/>
    <w:rsid w:val="00E71090"/>
    <w:rsid w:val="00E73C76"/>
    <w:rsid w:val="00E7713A"/>
    <w:rsid w:val="00E81E26"/>
    <w:rsid w:val="00E8349C"/>
    <w:rsid w:val="00E9087A"/>
    <w:rsid w:val="00E936B8"/>
    <w:rsid w:val="00E94360"/>
    <w:rsid w:val="00E969E0"/>
    <w:rsid w:val="00EA06BD"/>
    <w:rsid w:val="00EA16E3"/>
    <w:rsid w:val="00EA4B39"/>
    <w:rsid w:val="00EA56AC"/>
    <w:rsid w:val="00EB2521"/>
    <w:rsid w:val="00EB2F7B"/>
    <w:rsid w:val="00EB3DDD"/>
    <w:rsid w:val="00EC01B6"/>
    <w:rsid w:val="00EC0EA2"/>
    <w:rsid w:val="00EC1417"/>
    <w:rsid w:val="00EC1DA7"/>
    <w:rsid w:val="00EC325D"/>
    <w:rsid w:val="00EC5838"/>
    <w:rsid w:val="00EC712E"/>
    <w:rsid w:val="00EC730B"/>
    <w:rsid w:val="00ED4125"/>
    <w:rsid w:val="00ED60C2"/>
    <w:rsid w:val="00EE02A6"/>
    <w:rsid w:val="00EE1EEC"/>
    <w:rsid w:val="00EE28CC"/>
    <w:rsid w:val="00EE37C5"/>
    <w:rsid w:val="00EF01B2"/>
    <w:rsid w:val="00EF67A9"/>
    <w:rsid w:val="00EF7FA3"/>
    <w:rsid w:val="00F103A6"/>
    <w:rsid w:val="00F120FB"/>
    <w:rsid w:val="00F122EF"/>
    <w:rsid w:val="00F139A9"/>
    <w:rsid w:val="00F16690"/>
    <w:rsid w:val="00F16ACD"/>
    <w:rsid w:val="00F20A0D"/>
    <w:rsid w:val="00F2462A"/>
    <w:rsid w:val="00F250AA"/>
    <w:rsid w:val="00F3168A"/>
    <w:rsid w:val="00F33565"/>
    <w:rsid w:val="00F365A3"/>
    <w:rsid w:val="00F439E0"/>
    <w:rsid w:val="00F61136"/>
    <w:rsid w:val="00F6632D"/>
    <w:rsid w:val="00F6643E"/>
    <w:rsid w:val="00F66B17"/>
    <w:rsid w:val="00F73CA5"/>
    <w:rsid w:val="00F74A5C"/>
    <w:rsid w:val="00F7615F"/>
    <w:rsid w:val="00F815DC"/>
    <w:rsid w:val="00F81AE2"/>
    <w:rsid w:val="00F83078"/>
    <w:rsid w:val="00F83BEE"/>
    <w:rsid w:val="00F91D3D"/>
    <w:rsid w:val="00F960BD"/>
    <w:rsid w:val="00F96966"/>
    <w:rsid w:val="00F97C70"/>
    <w:rsid w:val="00FA04CD"/>
    <w:rsid w:val="00FA2019"/>
    <w:rsid w:val="00FA3DD3"/>
    <w:rsid w:val="00FB0D7A"/>
    <w:rsid w:val="00FB0FC3"/>
    <w:rsid w:val="00FB1916"/>
    <w:rsid w:val="00FB48CB"/>
    <w:rsid w:val="00FB75C6"/>
    <w:rsid w:val="00FC315F"/>
    <w:rsid w:val="00FC3B89"/>
    <w:rsid w:val="00FD1323"/>
    <w:rsid w:val="00FD1363"/>
    <w:rsid w:val="00FD2045"/>
    <w:rsid w:val="00FD2157"/>
    <w:rsid w:val="00FD2479"/>
    <w:rsid w:val="00FD6F3D"/>
    <w:rsid w:val="00FE0BBE"/>
    <w:rsid w:val="00FF1057"/>
    <w:rsid w:val="00FF395F"/>
    <w:rsid w:val="00FF449E"/>
    <w:rsid w:val="00FF515F"/>
    <w:rsid w:val="00FF614A"/>
    <w:rsid w:val="00FF7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EB5CB"/>
  <w15:chartTrackingRefBased/>
  <w15:docId w15:val="{E64595F5-53C1-496B-B66B-A97664352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6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61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B5D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2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2FF"/>
  </w:style>
  <w:style w:type="paragraph" w:styleId="Footer">
    <w:name w:val="footer"/>
    <w:basedOn w:val="Normal"/>
    <w:link w:val="FooterChar"/>
    <w:uiPriority w:val="99"/>
    <w:unhideWhenUsed/>
    <w:rsid w:val="00B462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2FF"/>
  </w:style>
  <w:style w:type="character" w:styleId="Hyperlink">
    <w:name w:val="Hyperlink"/>
    <w:basedOn w:val="DefaultParagraphFont"/>
    <w:uiPriority w:val="99"/>
    <w:unhideWhenUsed/>
    <w:rsid w:val="00B462FF"/>
    <w:rPr>
      <w:color w:val="0563C1" w:themeColor="hyperlink"/>
      <w:u w:val="single"/>
    </w:rPr>
  </w:style>
  <w:style w:type="character" w:styleId="PlaceholderText">
    <w:name w:val="Placeholder Text"/>
    <w:basedOn w:val="DefaultParagraphFont"/>
    <w:uiPriority w:val="99"/>
    <w:semiHidden/>
    <w:rsid w:val="00B4406F"/>
    <w:rPr>
      <w:color w:val="808080"/>
    </w:rPr>
  </w:style>
  <w:style w:type="table" w:styleId="TableGrid">
    <w:name w:val="Table Grid"/>
    <w:basedOn w:val="TableNormal"/>
    <w:uiPriority w:val="39"/>
    <w:rsid w:val="001A6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6378A"/>
    <w:rPr>
      <w:rFonts w:ascii="Arial-BoldMT" w:hAnsi="Arial-BoldMT" w:hint="default"/>
      <w:b/>
      <w:bCs/>
      <w:i w:val="0"/>
      <w:iCs w:val="0"/>
      <w:color w:val="000000"/>
      <w:sz w:val="22"/>
      <w:szCs w:val="22"/>
    </w:rPr>
  </w:style>
  <w:style w:type="character" w:customStyle="1" w:styleId="fontstyle21">
    <w:name w:val="fontstyle21"/>
    <w:basedOn w:val="DefaultParagraphFont"/>
    <w:rsid w:val="0096378A"/>
    <w:rPr>
      <w:rFonts w:ascii="ArialMT" w:hAnsi="ArialMT" w:hint="default"/>
      <w:b w:val="0"/>
      <w:bCs w:val="0"/>
      <w:i w:val="0"/>
      <w:iCs w:val="0"/>
      <w:color w:val="000000"/>
      <w:sz w:val="22"/>
      <w:szCs w:val="22"/>
    </w:rPr>
  </w:style>
  <w:style w:type="paragraph" w:styleId="ListParagraph">
    <w:name w:val="List Paragraph"/>
    <w:basedOn w:val="Normal"/>
    <w:uiPriority w:val="34"/>
    <w:qFormat/>
    <w:rsid w:val="00102D30"/>
    <w:pPr>
      <w:ind w:left="720"/>
      <w:contextualSpacing/>
    </w:pPr>
  </w:style>
  <w:style w:type="character" w:customStyle="1" w:styleId="Heading2Char">
    <w:name w:val="Heading 2 Char"/>
    <w:basedOn w:val="DefaultParagraphFont"/>
    <w:link w:val="Heading2"/>
    <w:uiPriority w:val="9"/>
    <w:rsid w:val="0034615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B5D39"/>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1135C5"/>
    <w:rPr>
      <w:i/>
      <w:iCs/>
    </w:rPr>
  </w:style>
  <w:style w:type="paragraph" w:styleId="Subtitle">
    <w:name w:val="Subtitle"/>
    <w:basedOn w:val="Normal"/>
    <w:next w:val="Normal"/>
    <w:link w:val="SubtitleChar"/>
    <w:uiPriority w:val="11"/>
    <w:qFormat/>
    <w:rsid w:val="00B3286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32864"/>
    <w:rPr>
      <w:rFonts w:eastAsiaTheme="minorEastAsia"/>
      <w:color w:val="5A5A5A" w:themeColor="text1" w:themeTint="A5"/>
      <w:spacing w:val="15"/>
    </w:rPr>
  </w:style>
  <w:style w:type="character" w:styleId="SubtleEmphasis">
    <w:name w:val="Subtle Emphasis"/>
    <w:basedOn w:val="DefaultParagraphFont"/>
    <w:uiPriority w:val="19"/>
    <w:qFormat/>
    <w:rsid w:val="00B32864"/>
    <w:rPr>
      <w:i/>
      <w:iCs/>
      <w:color w:val="404040" w:themeColor="text1" w:themeTint="BF"/>
    </w:rPr>
  </w:style>
  <w:style w:type="character" w:customStyle="1" w:styleId="Heading1Char">
    <w:name w:val="Heading 1 Char"/>
    <w:basedOn w:val="DefaultParagraphFont"/>
    <w:link w:val="Heading1"/>
    <w:uiPriority w:val="9"/>
    <w:rsid w:val="001826F4"/>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8A3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24047">
      <w:bodyDiv w:val="1"/>
      <w:marLeft w:val="0"/>
      <w:marRight w:val="0"/>
      <w:marTop w:val="0"/>
      <w:marBottom w:val="0"/>
      <w:divBdr>
        <w:top w:val="none" w:sz="0" w:space="0" w:color="auto"/>
        <w:left w:val="none" w:sz="0" w:space="0" w:color="auto"/>
        <w:bottom w:val="none" w:sz="0" w:space="0" w:color="auto"/>
        <w:right w:val="none" w:sz="0" w:space="0" w:color="auto"/>
      </w:divBdr>
    </w:div>
    <w:div w:id="439616608">
      <w:bodyDiv w:val="1"/>
      <w:marLeft w:val="0"/>
      <w:marRight w:val="0"/>
      <w:marTop w:val="0"/>
      <w:marBottom w:val="0"/>
      <w:divBdr>
        <w:top w:val="none" w:sz="0" w:space="0" w:color="auto"/>
        <w:left w:val="none" w:sz="0" w:space="0" w:color="auto"/>
        <w:bottom w:val="none" w:sz="0" w:space="0" w:color="auto"/>
        <w:right w:val="none" w:sz="0" w:space="0" w:color="auto"/>
      </w:divBdr>
    </w:div>
    <w:div w:id="473764981">
      <w:bodyDiv w:val="1"/>
      <w:marLeft w:val="0"/>
      <w:marRight w:val="0"/>
      <w:marTop w:val="0"/>
      <w:marBottom w:val="0"/>
      <w:divBdr>
        <w:top w:val="none" w:sz="0" w:space="0" w:color="auto"/>
        <w:left w:val="none" w:sz="0" w:space="0" w:color="auto"/>
        <w:bottom w:val="none" w:sz="0" w:space="0" w:color="auto"/>
        <w:right w:val="none" w:sz="0" w:space="0" w:color="auto"/>
      </w:divBdr>
    </w:div>
    <w:div w:id="893001046">
      <w:bodyDiv w:val="1"/>
      <w:marLeft w:val="0"/>
      <w:marRight w:val="0"/>
      <w:marTop w:val="0"/>
      <w:marBottom w:val="0"/>
      <w:divBdr>
        <w:top w:val="none" w:sz="0" w:space="0" w:color="auto"/>
        <w:left w:val="none" w:sz="0" w:space="0" w:color="auto"/>
        <w:bottom w:val="none" w:sz="0" w:space="0" w:color="auto"/>
        <w:right w:val="none" w:sz="0" w:space="0" w:color="auto"/>
      </w:divBdr>
    </w:div>
    <w:div w:id="1307465930">
      <w:bodyDiv w:val="1"/>
      <w:marLeft w:val="0"/>
      <w:marRight w:val="0"/>
      <w:marTop w:val="0"/>
      <w:marBottom w:val="0"/>
      <w:divBdr>
        <w:top w:val="none" w:sz="0" w:space="0" w:color="auto"/>
        <w:left w:val="none" w:sz="0" w:space="0" w:color="auto"/>
        <w:bottom w:val="none" w:sz="0" w:space="0" w:color="auto"/>
        <w:right w:val="none" w:sz="0" w:space="0" w:color="auto"/>
      </w:divBdr>
    </w:div>
    <w:div w:id="1315135598">
      <w:bodyDiv w:val="1"/>
      <w:marLeft w:val="0"/>
      <w:marRight w:val="0"/>
      <w:marTop w:val="0"/>
      <w:marBottom w:val="0"/>
      <w:divBdr>
        <w:top w:val="none" w:sz="0" w:space="0" w:color="auto"/>
        <w:left w:val="none" w:sz="0" w:space="0" w:color="auto"/>
        <w:bottom w:val="none" w:sz="0" w:space="0" w:color="auto"/>
        <w:right w:val="none" w:sz="0" w:space="0" w:color="auto"/>
      </w:divBdr>
    </w:div>
    <w:div w:id="1499149275">
      <w:bodyDiv w:val="1"/>
      <w:marLeft w:val="0"/>
      <w:marRight w:val="0"/>
      <w:marTop w:val="0"/>
      <w:marBottom w:val="0"/>
      <w:divBdr>
        <w:top w:val="none" w:sz="0" w:space="0" w:color="auto"/>
        <w:left w:val="none" w:sz="0" w:space="0" w:color="auto"/>
        <w:bottom w:val="none" w:sz="0" w:space="0" w:color="auto"/>
        <w:right w:val="none" w:sz="0" w:space="0" w:color="auto"/>
      </w:divBdr>
    </w:div>
    <w:div w:id="1922908071">
      <w:bodyDiv w:val="1"/>
      <w:marLeft w:val="0"/>
      <w:marRight w:val="0"/>
      <w:marTop w:val="0"/>
      <w:marBottom w:val="0"/>
      <w:divBdr>
        <w:top w:val="none" w:sz="0" w:space="0" w:color="auto"/>
        <w:left w:val="none" w:sz="0" w:space="0" w:color="auto"/>
        <w:bottom w:val="none" w:sz="0" w:space="0" w:color="auto"/>
        <w:right w:val="none" w:sz="0" w:space="0" w:color="auto"/>
      </w:divBdr>
    </w:div>
    <w:div w:id="199664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8CF6EFA-4629-438F-93BB-9F5805408EB6}"/>
      </w:docPartPr>
      <w:docPartBody>
        <w:p w:rsidR="00F82189" w:rsidRDefault="004F4C35">
          <w:r w:rsidRPr="002419FA">
            <w:rPr>
              <w:rStyle w:val="PlaceholderText"/>
            </w:rPr>
            <w:t>Click or tap here to enter text.</w:t>
          </w:r>
        </w:p>
      </w:docPartBody>
    </w:docPart>
    <w:docPart>
      <w:docPartPr>
        <w:name w:val="A6EFA105D0F64E39BFE63F4F7F848067"/>
        <w:category>
          <w:name w:val="General"/>
          <w:gallery w:val="placeholder"/>
        </w:category>
        <w:types>
          <w:type w:val="bbPlcHdr"/>
        </w:types>
        <w:behaviors>
          <w:behavior w:val="content"/>
        </w:behaviors>
        <w:guid w:val="{73EFEA8B-FE14-4F92-ACEE-B768C41B5387}"/>
      </w:docPartPr>
      <w:docPartBody>
        <w:p w:rsidR="00C21C91" w:rsidRDefault="004454A7" w:rsidP="004454A7">
          <w:pPr>
            <w:pStyle w:val="A6EFA105D0F64E39BFE63F4F7F848067"/>
          </w:pPr>
          <w:r w:rsidRPr="002419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C35"/>
    <w:rsid w:val="000235F2"/>
    <w:rsid w:val="000C3906"/>
    <w:rsid w:val="00175E23"/>
    <w:rsid w:val="002424F1"/>
    <w:rsid w:val="002E655C"/>
    <w:rsid w:val="004452AE"/>
    <w:rsid w:val="004454A7"/>
    <w:rsid w:val="004A561C"/>
    <w:rsid w:val="004F4C35"/>
    <w:rsid w:val="00581F07"/>
    <w:rsid w:val="005A065F"/>
    <w:rsid w:val="00631C5C"/>
    <w:rsid w:val="006A4397"/>
    <w:rsid w:val="00812A5D"/>
    <w:rsid w:val="00833E07"/>
    <w:rsid w:val="00AF58FE"/>
    <w:rsid w:val="00B2727C"/>
    <w:rsid w:val="00C004BA"/>
    <w:rsid w:val="00C14982"/>
    <w:rsid w:val="00C21C91"/>
    <w:rsid w:val="00E3627C"/>
    <w:rsid w:val="00F82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5E23"/>
    <w:rPr>
      <w:color w:val="808080"/>
    </w:rPr>
  </w:style>
  <w:style w:type="paragraph" w:customStyle="1" w:styleId="A6EFA105D0F64E39BFE63F4F7F848067">
    <w:name w:val="A6EFA105D0F64E39BFE63F4F7F848067"/>
    <w:rsid w:val="004454A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1576</TotalTime>
  <Pages>9</Pages>
  <Words>4382</Words>
  <Characters>24981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Hoare</dc:creator>
  <cp:keywords/>
  <dc:description/>
  <cp:lastModifiedBy>Owen Hoare</cp:lastModifiedBy>
  <cp:revision>408</cp:revision>
  <cp:lastPrinted>2023-08-04T11:20:00Z</cp:lastPrinted>
  <dcterms:created xsi:type="dcterms:W3CDTF">2023-08-25T12:59:00Z</dcterms:created>
  <dcterms:modified xsi:type="dcterms:W3CDTF">2026-02-03T12:36:00Z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0b5fc1d0172c59fdb0901f7f1c7b1f77225c44564e9e85fd10576fa41d620c34</vt:lpwstr>
  </property>
</Properties>
</file>