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6BA00" w14:textId="68EA5702" w:rsidR="00F73A61" w:rsidRDefault="00F73A61" w:rsidP="005000A5">
      <w:pPr>
        <w:rPr>
          <w:b/>
          <w:bCs/>
        </w:rPr>
      </w:pPr>
      <w:hyperlink r:id="rId5" w:tgtFrame="_blank" w:history="1">
        <w:r w:rsidRPr="00942804">
          <w:rPr>
            <w:rStyle w:val="Hyperlink"/>
            <w:rFonts w:eastAsiaTheme="majorEastAsia"/>
            <w:b/>
            <w:bCs/>
            <w:lang w:val="en-US"/>
          </w:rPr>
          <w:t>PL/2025/09841</w:t>
        </w:r>
      </w:hyperlink>
      <w:r w:rsidRPr="00942804">
        <w:rPr>
          <w:b/>
          <w:bCs/>
        </w:rPr>
        <w:t xml:space="preserve"> CHURCH FARM, BATH ROAD, SHAW</w:t>
      </w:r>
    </w:p>
    <w:p w14:paraId="0796FA14" w14:textId="074FDE7B" w:rsidR="005000A5" w:rsidRPr="00382452" w:rsidRDefault="005000A5" w:rsidP="005000A5">
      <w:pPr>
        <w:rPr>
          <w:b/>
          <w:bCs/>
        </w:rPr>
      </w:pPr>
      <w:r w:rsidRPr="00382452">
        <w:rPr>
          <w:b/>
          <w:bCs/>
        </w:rPr>
        <w:t>Comments: Objection</w:t>
      </w:r>
    </w:p>
    <w:p w14:paraId="4604984C" w14:textId="5E152C79" w:rsidR="005000A5" w:rsidRDefault="005000A5" w:rsidP="005000A5">
      <w:r>
        <w:t xml:space="preserve">The </w:t>
      </w:r>
      <w:r w:rsidR="00F73A61">
        <w:t xml:space="preserve">Melksham Without </w:t>
      </w:r>
      <w:r>
        <w:t>Parish Council objects to the proposed Class MA change of use from Class E to residential.</w:t>
      </w:r>
    </w:p>
    <w:p w14:paraId="7AD0B7C6" w14:textId="5EECA033" w:rsidR="00AE3649" w:rsidRDefault="00AE3649" w:rsidP="005000A5">
      <w:r>
        <w:t xml:space="preserve">This </w:t>
      </w:r>
      <w:r w:rsidR="00F73A61">
        <w:t xml:space="preserve">application </w:t>
      </w:r>
      <w:r>
        <w:t xml:space="preserve">should be refused for the same reason as refusal reason 1 for </w:t>
      </w:r>
      <w:r w:rsidRPr="00AE3649">
        <w:t>PL/2025/</w:t>
      </w:r>
      <w:r w:rsidR="002C6D93" w:rsidRPr="00AE3649">
        <w:t>08613</w:t>
      </w:r>
      <w:r w:rsidR="002C6D93">
        <w:t xml:space="preserve"> Land</w:t>
      </w:r>
      <w:r w:rsidRPr="00AE3649">
        <w:t xml:space="preserve"> South of 214B Corsham Road, Whitley</w:t>
      </w:r>
      <w:r>
        <w:t>:</w:t>
      </w:r>
    </w:p>
    <w:p w14:paraId="39537CF1" w14:textId="7084F551" w:rsidR="005000A5" w:rsidRDefault="00AE3649" w:rsidP="005000A5">
      <w:pPr>
        <w:rPr>
          <w:i/>
          <w:iCs/>
        </w:rPr>
      </w:pPr>
      <w:r>
        <w:rPr>
          <w:i/>
          <w:iCs/>
        </w:rPr>
        <w:t>“</w:t>
      </w:r>
      <w:r w:rsidRPr="00AE3649">
        <w:rPr>
          <w:i/>
          <w:iCs/>
        </w:rPr>
        <w:t>The development as proposed, would materially conflict with the Council's strategic core policies CP1, CP2 and CP15 of the adopted Wiltshire Core Strategy, by virtue of the site not being allocated for housing and being located outside settlement limits, as well as significantly and demonstrably conflicting with the Joint Melksham Neighbourhood Plan 2 2020-2038, which allocates other land for housing (as made on 4 August 2025) and that the benefits of the development would not outweigh the aforesaid Plan conflicts and that the application is hereby refused in full compliance with the National Planning Policy Framework paragraph 14.</w:t>
      </w:r>
      <w:r>
        <w:rPr>
          <w:i/>
          <w:iCs/>
        </w:rPr>
        <w:t>”</w:t>
      </w:r>
    </w:p>
    <w:p w14:paraId="52ED0184" w14:textId="555395DC" w:rsidR="005000A5" w:rsidRDefault="005000A5" w:rsidP="005000A5">
      <w:r>
        <w:t>The site lies outside the Shaw and Whitley settlement boundary and therefore conflicts with the spatial strategy of the Melksham Neighbourhood Plan 2</w:t>
      </w:r>
      <w:r w:rsidR="00353BA8">
        <w:t xml:space="preserve"> </w:t>
      </w:r>
      <w:r w:rsidR="00AE3649">
        <w:t>Policy 6 (Housing in Defined Settlements)</w:t>
      </w:r>
      <w:r>
        <w:t>, which directs housing growth to defined settlements and applies a more restrictive approach to development in the countryside.</w:t>
      </w:r>
    </w:p>
    <w:p w14:paraId="0826F556" w14:textId="168E0FB5" w:rsidR="005000A5" w:rsidRDefault="005000A5" w:rsidP="005000A5">
      <w:pPr>
        <w:pStyle w:val="ListParagraph"/>
        <w:spacing w:after="0" w:line="252" w:lineRule="auto"/>
        <w:ind w:left="0"/>
        <w:contextualSpacing w:val="0"/>
        <w:rPr>
          <w:rFonts w:ascii="Arial" w:eastAsia="Times New Roman" w:hAnsi="Arial" w:cs="Times New Roman"/>
          <w:kern w:val="0"/>
          <w:sz w:val="24"/>
          <w:szCs w:val="24"/>
          <w14:ligatures w14:val="none"/>
        </w:rPr>
      </w:pPr>
      <w:r w:rsidRPr="005000A5">
        <w:rPr>
          <w:rFonts w:ascii="Arial" w:eastAsia="Times New Roman" w:hAnsi="Arial" w:cs="Times New Roman"/>
          <w:kern w:val="0"/>
          <w:sz w:val="24"/>
          <w:szCs w:val="24"/>
          <w14:ligatures w14:val="none"/>
        </w:rPr>
        <w:t xml:space="preserve">For Shaw &amp; Whitley, the figures below </w:t>
      </w:r>
      <w:r>
        <w:rPr>
          <w:rFonts w:ascii="Arial" w:eastAsia="Times New Roman" w:hAnsi="Arial" w:cs="Times New Roman"/>
          <w:kern w:val="0"/>
          <w:sz w:val="24"/>
          <w:szCs w:val="24"/>
          <w14:ligatures w14:val="none"/>
        </w:rPr>
        <w:t>show those developments</w:t>
      </w:r>
      <w:r w:rsidRPr="005000A5">
        <w:rPr>
          <w:rFonts w:ascii="Arial" w:eastAsia="Times New Roman" w:hAnsi="Arial" w:cs="Times New Roman"/>
          <w:kern w:val="0"/>
          <w:sz w:val="24"/>
          <w:szCs w:val="24"/>
          <w14:ligatures w14:val="none"/>
        </w:rPr>
        <w:t xml:space="preserve"> that have planning permission, built already, pending a planning decision, and an estimate based on all the evidence in the Reg 14 A and Reg 14 B consultations (which had 15 and then 10 dwellings) for the Whitley Farm site allocation in the Melksham Neighbourhood Plan 2</w:t>
      </w:r>
      <w:r>
        <w:rPr>
          <w:rFonts w:ascii="Arial" w:eastAsia="Times New Roman" w:hAnsi="Arial" w:cs="Times New Roman"/>
          <w:kern w:val="0"/>
          <w:sz w:val="24"/>
          <w:szCs w:val="24"/>
          <w14:ligatures w14:val="none"/>
        </w:rPr>
        <w:t>*.</w:t>
      </w:r>
      <w:r w:rsidRPr="005000A5">
        <w:rPr>
          <w:rFonts w:ascii="Arial" w:eastAsia="Times New Roman" w:hAnsi="Arial" w:cs="Times New Roman"/>
          <w:kern w:val="0"/>
          <w:sz w:val="24"/>
          <w:szCs w:val="24"/>
          <w14:ligatures w14:val="none"/>
        </w:rPr>
        <w:t xml:space="preserve">  The total comes to 75, with the emerging Local Plan saying approx. 70/ 73 dwellings requirement</w:t>
      </w:r>
      <w:r w:rsidR="005B5F3C">
        <w:rPr>
          <w:rFonts w:ascii="Arial" w:eastAsia="Times New Roman" w:hAnsi="Arial" w:cs="Times New Roman"/>
          <w:kern w:val="0"/>
          <w:sz w:val="24"/>
          <w:szCs w:val="24"/>
          <w14:ligatures w14:val="none"/>
        </w:rPr>
        <w:t xml:space="preserve"> for the Large Village of Shaw &amp; Whitley.</w:t>
      </w:r>
      <w:r w:rsidRPr="005000A5">
        <w:rPr>
          <w:rFonts w:ascii="Arial" w:eastAsia="Times New Roman" w:hAnsi="Arial" w:cs="Times New Roman"/>
          <w:kern w:val="0"/>
          <w:sz w:val="24"/>
          <w:szCs w:val="24"/>
          <w14:ligatures w14:val="none"/>
        </w:rPr>
        <w:t xml:space="preserve">  The parish council believe that these planned numbers are more than sufficient to meet the needs of the community and speculative developments need not, and should not, be considered at this time.</w:t>
      </w:r>
    </w:p>
    <w:p w14:paraId="5395A92C" w14:textId="77777777" w:rsidR="005000A5" w:rsidRDefault="005000A5" w:rsidP="005000A5">
      <w:pPr>
        <w:pStyle w:val="ListParagraph"/>
        <w:spacing w:after="0" w:line="252" w:lineRule="auto"/>
        <w:ind w:left="0"/>
        <w:contextualSpacing w:val="0"/>
        <w:rPr>
          <w:rFonts w:ascii="Arial" w:eastAsia="Times New Roman" w:hAnsi="Arial" w:cs="Times New Roman"/>
          <w:kern w:val="0"/>
          <w:sz w:val="24"/>
          <w:szCs w:val="24"/>
          <w14:ligatures w14:val="none"/>
        </w:rPr>
      </w:pPr>
    </w:p>
    <w:p w14:paraId="57897789" w14:textId="43C13DF6" w:rsidR="005000A5" w:rsidRPr="00EF47B0" w:rsidRDefault="005000A5" w:rsidP="005000A5">
      <w:pPr>
        <w:pStyle w:val="ListParagraph"/>
        <w:spacing w:after="0" w:line="252" w:lineRule="auto"/>
        <w:ind w:left="0"/>
        <w:contextualSpacing w:val="0"/>
        <w:rPr>
          <w:rFonts w:ascii="Arial" w:eastAsia="Times New Roman" w:hAnsi="Arial" w:cs="Times New Roman"/>
          <w:kern w:val="0"/>
          <w14:ligatures w14:val="none"/>
        </w:rPr>
      </w:pPr>
      <w:r w:rsidRPr="00EF47B0">
        <w:rPr>
          <w:rFonts w:ascii="Arial" w:eastAsia="Times New Roman" w:hAnsi="Arial" w:cs="Times New Roman"/>
          <w:kern w:val="0"/>
          <w14:ligatures w14:val="none"/>
        </w:rPr>
        <w:t xml:space="preserve">*The Reg 14 A and Reg 14 B consultations for Whitley Farm site included viability assessment and initial pre application discussions showed more houses than those in the </w:t>
      </w:r>
      <w:r w:rsidR="005B5F3C">
        <w:rPr>
          <w:rFonts w:ascii="Arial" w:eastAsia="Times New Roman" w:hAnsi="Arial" w:cs="Times New Roman"/>
          <w:kern w:val="0"/>
          <w14:ligatures w14:val="none"/>
        </w:rPr>
        <w:t>Submission</w:t>
      </w:r>
      <w:r w:rsidRPr="00EF47B0">
        <w:rPr>
          <w:rFonts w:ascii="Arial" w:eastAsia="Times New Roman" w:hAnsi="Arial" w:cs="Times New Roman"/>
          <w:kern w:val="0"/>
          <w14:ligatures w14:val="none"/>
        </w:rPr>
        <w:t xml:space="preserve"> version of NHP2</w:t>
      </w:r>
    </w:p>
    <w:p w14:paraId="599EA953" w14:textId="77777777" w:rsidR="005000A5" w:rsidRPr="005000A5" w:rsidRDefault="005000A5" w:rsidP="005000A5">
      <w:pPr>
        <w:pStyle w:val="ListParagraph"/>
        <w:spacing w:after="0" w:line="252" w:lineRule="auto"/>
        <w:ind w:left="0"/>
        <w:contextualSpacing w:val="0"/>
        <w:rPr>
          <w:rFonts w:ascii="Arial" w:eastAsia="Times New Roman" w:hAnsi="Arial" w:cs="Times New Roman"/>
          <w:kern w:val="0"/>
          <w:sz w:val="24"/>
          <w:szCs w:val="24"/>
          <w14:ligatures w14:val="none"/>
        </w:rPr>
      </w:pPr>
    </w:p>
    <w:tbl>
      <w:tblPr>
        <w:tblStyle w:val="TableGrid"/>
        <w:tblW w:w="0" w:type="auto"/>
        <w:tblLayout w:type="fixed"/>
        <w:tblLook w:val="04A0" w:firstRow="1" w:lastRow="0" w:firstColumn="1" w:lastColumn="0" w:noHBand="0" w:noVBand="1"/>
      </w:tblPr>
      <w:tblGrid>
        <w:gridCol w:w="1838"/>
        <w:gridCol w:w="2693"/>
        <w:gridCol w:w="1560"/>
        <w:gridCol w:w="1701"/>
      </w:tblGrid>
      <w:tr w:rsidR="005000A5" w:rsidRPr="00944FA3" w14:paraId="1988F55D" w14:textId="77777777" w:rsidTr="00764B67">
        <w:tc>
          <w:tcPr>
            <w:tcW w:w="1838" w:type="dxa"/>
          </w:tcPr>
          <w:p w14:paraId="36D2C120" w14:textId="77777777" w:rsidR="005000A5" w:rsidRPr="005000A5" w:rsidRDefault="005000A5" w:rsidP="00764B67">
            <w:pPr>
              <w:rPr>
                <w:lang w:eastAsia="en-US"/>
              </w:rPr>
            </w:pPr>
            <w:r w:rsidRPr="005000A5">
              <w:rPr>
                <w:lang w:eastAsia="en-US"/>
              </w:rPr>
              <w:t>Site</w:t>
            </w:r>
          </w:p>
        </w:tc>
        <w:tc>
          <w:tcPr>
            <w:tcW w:w="2693" w:type="dxa"/>
          </w:tcPr>
          <w:p w14:paraId="4E47B8A6" w14:textId="77777777" w:rsidR="005000A5" w:rsidRPr="005000A5" w:rsidRDefault="005000A5" w:rsidP="00764B67">
            <w:pPr>
              <w:rPr>
                <w:lang w:eastAsia="en-US"/>
              </w:rPr>
            </w:pPr>
            <w:r w:rsidRPr="005000A5">
              <w:rPr>
                <w:lang w:eastAsia="en-US"/>
              </w:rPr>
              <w:t>Planning Application</w:t>
            </w:r>
          </w:p>
        </w:tc>
        <w:tc>
          <w:tcPr>
            <w:tcW w:w="1560" w:type="dxa"/>
          </w:tcPr>
          <w:p w14:paraId="308391D8" w14:textId="77777777" w:rsidR="005000A5" w:rsidRPr="005000A5" w:rsidRDefault="005000A5" w:rsidP="00764B67">
            <w:pPr>
              <w:rPr>
                <w:lang w:eastAsia="en-US"/>
              </w:rPr>
            </w:pPr>
            <w:r w:rsidRPr="005000A5">
              <w:rPr>
                <w:lang w:eastAsia="en-US"/>
              </w:rPr>
              <w:t>Number of Dwellings</w:t>
            </w:r>
          </w:p>
        </w:tc>
        <w:tc>
          <w:tcPr>
            <w:tcW w:w="1701" w:type="dxa"/>
          </w:tcPr>
          <w:p w14:paraId="427EE7A1" w14:textId="77777777" w:rsidR="005000A5" w:rsidRPr="005000A5" w:rsidRDefault="005000A5" w:rsidP="00764B67">
            <w:pPr>
              <w:rPr>
                <w:lang w:eastAsia="en-US"/>
              </w:rPr>
            </w:pPr>
            <w:r w:rsidRPr="005000A5">
              <w:rPr>
                <w:lang w:eastAsia="en-US"/>
              </w:rPr>
              <w:t>Status as at 3/10/25</w:t>
            </w:r>
          </w:p>
        </w:tc>
      </w:tr>
      <w:tr w:rsidR="005000A5" w14:paraId="4215E1D3" w14:textId="77777777" w:rsidTr="00764B67">
        <w:tc>
          <w:tcPr>
            <w:tcW w:w="1838" w:type="dxa"/>
          </w:tcPr>
          <w:p w14:paraId="3639BD83" w14:textId="77777777" w:rsidR="005000A5" w:rsidRDefault="005000A5" w:rsidP="00764B67">
            <w:pPr>
              <w:rPr>
                <w:lang w:eastAsia="en-US"/>
              </w:rPr>
            </w:pPr>
            <w:r>
              <w:rPr>
                <w:lang w:eastAsia="en-US"/>
              </w:rPr>
              <w:t xml:space="preserve">Middle Farm Site Allocation in adopted  NHP2 (55 dwellings) </w:t>
            </w:r>
          </w:p>
        </w:tc>
        <w:tc>
          <w:tcPr>
            <w:tcW w:w="2693" w:type="dxa"/>
          </w:tcPr>
          <w:p w14:paraId="6028246D" w14:textId="77777777" w:rsidR="005000A5" w:rsidRDefault="005000A5" w:rsidP="00764B67">
            <w:pPr>
              <w:rPr>
                <w:lang w:eastAsia="en-US"/>
              </w:rPr>
            </w:pPr>
          </w:p>
        </w:tc>
        <w:tc>
          <w:tcPr>
            <w:tcW w:w="1560" w:type="dxa"/>
          </w:tcPr>
          <w:p w14:paraId="7F0A61A1" w14:textId="77777777" w:rsidR="005000A5" w:rsidRDefault="005000A5" w:rsidP="00764B67">
            <w:pPr>
              <w:rPr>
                <w:lang w:eastAsia="en-US"/>
              </w:rPr>
            </w:pPr>
            <w:r>
              <w:rPr>
                <w:lang w:eastAsia="en-US"/>
              </w:rPr>
              <w:t>55</w:t>
            </w:r>
          </w:p>
        </w:tc>
        <w:tc>
          <w:tcPr>
            <w:tcW w:w="1701" w:type="dxa"/>
          </w:tcPr>
          <w:p w14:paraId="4C505D3E" w14:textId="77777777" w:rsidR="005000A5" w:rsidRDefault="005000A5" w:rsidP="00764B67">
            <w:pPr>
              <w:rPr>
                <w:lang w:eastAsia="en-US"/>
              </w:rPr>
            </w:pPr>
            <w:r>
              <w:rPr>
                <w:lang w:eastAsia="en-US"/>
              </w:rPr>
              <w:t>NHP2 made 4</w:t>
            </w:r>
            <w:r w:rsidRPr="005000A5">
              <w:rPr>
                <w:lang w:eastAsia="en-US"/>
              </w:rPr>
              <w:t>th</w:t>
            </w:r>
            <w:r>
              <w:rPr>
                <w:lang w:eastAsia="en-US"/>
              </w:rPr>
              <w:t xml:space="preserve"> August 2025</w:t>
            </w:r>
          </w:p>
        </w:tc>
      </w:tr>
      <w:tr w:rsidR="005000A5" w:rsidRPr="00516CEB" w14:paraId="7CACB305" w14:textId="77777777" w:rsidTr="00764B67">
        <w:tc>
          <w:tcPr>
            <w:tcW w:w="1838" w:type="dxa"/>
          </w:tcPr>
          <w:p w14:paraId="5C852E5F" w14:textId="77777777" w:rsidR="005000A5" w:rsidRPr="00F95606" w:rsidRDefault="005000A5" w:rsidP="00764B67">
            <w:pPr>
              <w:rPr>
                <w:lang w:eastAsia="en-US"/>
              </w:rPr>
            </w:pPr>
            <w:r w:rsidRPr="00F95606">
              <w:rPr>
                <w:lang w:eastAsia="en-US"/>
              </w:rPr>
              <w:t xml:space="preserve">Whitley Farm NP2 (number is approximate) </w:t>
            </w:r>
          </w:p>
        </w:tc>
        <w:tc>
          <w:tcPr>
            <w:tcW w:w="2693" w:type="dxa"/>
          </w:tcPr>
          <w:p w14:paraId="7C50E0BA" w14:textId="77777777" w:rsidR="005000A5" w:rsidRPr="00F95606" w:rsidRDefault="005000A5" w:rsidP="00764B67">
            <w:pPr>
              <w:rPr>
                <w:lang w:eastAsia="en-US"/>
              </w:rPr>
            </w:pPr>
            <w:r w:rsidRPr="00F95606">
              <w:rPr>
                <w:lang w:eastAsia="en-US"/>
              </w:rPr>
              <w:t xml:space="preserve">Conservation led redevelopment of redundant modern agricultural buildings and barns and </w:t>
            </w:r>
            <w:r w:rsidRPr="00F95606">
              <w:rPr>
                <w:lang w:eastAsia="en-US"/>
              </w:rPr>
              <w:lastRenderedPageBreak/>
              <w:t xml:space="preserve">conservation and reuse of Grade II listed Whitley Farm barn </w:t>
            </w:r>
          </w:p>
          <w:p w14:paraId="45CA4731" w14:textId="77777777" w:rsidR="005000A5" w:rsidRPr="00F95606" w:rsidRDefault="005000A5" w:rsidP="00764B67">
            <w:pPr>
              <w:rPr>
                <w:lang w:eastAsia="en-US"/>
              </w:rPr>
            </w:pPr>
            <w:r w:rsidRPr="00F95606">
              <w:rPr>
                <w:lang w:eastAsia="en-US"/>
              </w:rPr>
              <w:t xml:space="preserve">10 &amp; 15 dwellings in Reg 14 versions of the NHP and viability report in NHP evidence base, but no actual housing number in NHP2 </w:t>
            </w:r>
          </w:p>
          <w:p w14:paraId="7C19F3F2" w14:textId="450A320E" w:rsidR="005B5F3C" w:rsidRPr="00F95606" w:rsidRDefault="005B5F3C" w:rsidP="00764B67"/>
        </w:tc>
        <w:tc>
          <w:tcPr>
            <w:tcW w:w="1560" w:type="dxa"/>
          </w:tcPr>
          <w:p w14:paraId="0AB08041" w14:textId="77777777" w:rsidR="005000A5" w:rsidRPr="00F95606" w:rsidRDefault="005000A5" w:rsidP="00764B67">
            <w:pPr>
              <w:rPr>
                <w:lang w:eastAsia="en-US"/>
              </w:rPr>
            </w:pPr>
            <w:r w:rsidRPr="00F95606">
              <w:rPr>
                <w:lang w:eastAsia="en-US"/>
              </w:rPr>
              <w:lastRenderedPageBreak/>
              <w:t xml:space="preserve">10 </w:t>
            </w:r>
          </w:p>
        </w:tc>
        <w:tc>
          <w:tcPr>
            <w:tcW w:w="1701" w:type="dxa"/>
          </w:tcPr>
          <w:p w14:paraId="30350279" w14:textId="77777777" w:rsidR="005000A5" w:rsidRPr="00F95606" w:rsidRDefault="005000A5" w:rsidP="00764B67">
            <w:pPr>
              <w:rPr>
                <w:lang w:eastAsia="en-US"/>
              </w:rPr>
            </w:pPr>
            <w:r w:rsidRPr="00F95606">
              <w:rPr>
                <w:lang w:eastAsia="en-US"/>
              </w:rPr>
              <w:t>NHP2 made 4</w:t>
            </w:r>
            <w:r w:rsidRPr="005000A5">
              <w:rPr>
                <w:lang w:eastAsia="en-US"/>
              </w:rPr>
              <w:t>th</w:t>
            </w:r>
            <w:r w:rsidRPr="00F95606">
              <w:rPr>
                <w:lang w:eastAsia="en-US"/>
              </w:rPr>
              <w:t xml:space="preserve"> August 2025</w:t>
            </w:r>
          </w:p>
        </w:tc>
      </w:tr>
      <w:tr w:rsidR="005000A5" w14:paraId="07EEB788" w14:textId="77777777" w:rsidTr="00764B67">
        <w:tc>
          <w:tcPr>
            <w:tcW w:w="1838" w:type="dxa"/>
          </w:tcPr>
          <w:p w14:paraId="085CC992" w14:textId="77777777" w:rsidR="005000A5" w:rsidRDefault="005000A5" w:rsidP="00764B67">
            <w:pPr>
              <w:rPr>
                <w:lang w:eastAsia="en-US"/>
              </w:rPr>
            </w:pPr>
            <w:r>
              <w:rPr>
                <w:lang w:eastAsia="en-US"/>
              </w:rPr>
              <w:t>Land Adjacent 1 Eden Grove, Whitley</w:t>
            </w:r>
          </w:p>
        </w:tc>
        <w:tc>
          <w:tcPr>
            <w:tcW w:w="2693" w:type="dxa"/>
          </w:tcPr>
          <w:p w14:paraId="6AAD982A" w14:textId="77777777" w:rsidR="005000A5" w:rsidRDefault="005000A5" w:rsidP="00764B67">
            <w:pPr>
              <w:rPr>
                <w:lang w:eastAsia="en-US"/>
              </w:rPr>
            </w:pPr>
            <w:r>
              <w:rPr>
                <w:lang w:eastAsia="en-US"/>
              </w:rPr>
              <w:t>PL/2023/00625</w:t>
            </w:r>
          </w:p>
        </w:tc>
        <w:tc>
          <w:tcPr>
            <w:tcW w:w="1560" w:type="dxa"/>
          </w:tcPr>
          <w:p w14:paraId="20B370F4" w14:textId="77777777" w:rsidR="005000A5" w:rsidRDefault="005000A5" w:rsidP="00764B67">
            <w:pPr>
              <w:rPr>
                <w:lang w:eastAsia="en-US"/>
              </w:rPr>
            </w:pPr>
            <w:r>
              <w:rPr>
                <w:lang w:eastAsia="en-US"/>
              </w:rPr>
              <w:t>1</w:t>
            </w:r>
          </w:p>
        </w:tc>
        <w:tc>
          <w:tcPr>
            <w:tcW w:w="1701" w:type="dxa"/>
          </w:tcPr>
          <w:p w14:paraId="1F01177C" w14:textId="77777777" w:rsidR="005000A5" w:rsidRDefault="005000A5" w:rsidP="00764B67">
            <w:pPr>
              <w:rPr>
                <w:lang w:eastAsia="en-US"/>
              </w:rPr>
            </w:pPr>
            <w:r>
              <w:rPr>
                <w:lang w:eastAsia="en-US"/>
              </w:rPr>
              <w:t xml:space="preserve">Built </w:t>
            </w:r>
          </w:p>
        </w:tc>
      </w:tr>
      <w:tr w:rsidR="005000A5" w14:paraId="231B883B" w14:textId="77777777" w:rsidTr="00764B67">
        <w:tc>
          <w:tcPr>
            <w:tcW w:w="1838" w:type="dxa"/>
          </w:tcPr>
          <w:p w14:paraId="6C039AD2" w14:textId="77777777" w:rsidR="005000A5" w:rsidRDefault="005000A5" w:rsidP="00764B67">
            <w:pPr>
              <w:rPr>
                <w:lang w:eastAsia="en-US"/>
              </w:rPr>
            </w:pPr>
            <w:r>
              <w:rPr>
                <w:lang w:eastAsia="en-US"/>
              </w:rPr>
              <w:t xml:space="preserve">39 Eden Grove, Whitley </w:t>
            </w:r>
          </w:p>
        </w:tc>
        <w:tc>
          <w:tcPr>
            <w:tcW w:w="2693" w:type="dxa"/>
          </w:tcPr>
          <w:p w14:paraId="61574FE4" w14:textId="77777777" w:rsidR="005000A5" w:rsidRDefault="005000A5" w:rsidP="00764B67">
            <w:pPr>
              <w:rPr>
                <w:lang w:eastAsia="en-US"/>
              </w:rPr>
            </w:pPr>
            <w:r>
              <w:rPr>
                <w:lang w:eastAsia="en-US"/>
              </w:rPr>
              <w:t xml:space="preserve">21/01791/FUL </w:t>
            </w:r>
          </w:p>
        </w:tc>
        <w:tc>
          <w:tcPr>
            <w:tcW w:w="1560" w:type="dxa"/>
          </w:tcPr>
          <w:p w14:paraId="6DA0C35A" w14:textId="77777777" w:rsidR="005000A5" w:rsidRDefault="005000A5" w:rsidP="00764B67">
            <w:pPr>
              <w:rPr>
                <w:lang w:eastAsia="en-US"/>
              </w:rPr>
            </w:pPr>
            <w:r>
              <w:rPr>
                <w:lang w:eastAsia="en-US"/>
              </w:rPr>
              <w:t>2</w:t>
            </w:r>
          </w:p>
        </w:tc>
        <w:tc>
          <w:tcPr>
            <w:tcW w:w="1701" w:type="dxa"/>
          </w:tcPr>
          <w:p w14:paraId="4B73589E" w14:textId="77777777" w:rsidR="005000A5" w:rsidRDefault="005000A5" w:rsidP="00764B67">
            <w:pPr>
              <w:rPr>
                <w:lang w:eastAsia="en-US"/>
              </w:rPr>
            </w:pPr>
            <w:r>
              <w:rPr>
                <w:lang w:eastAsia="en-US"/>
              </w:rPr>
              <w:t>Built</w:t>
            </w:r>
          </w:p>
        </w:tc>
      </w:tr>
      <w:tr w:rsidR="005000A5" w14:paraId="65ED5324" w14:textId="77777777" w:rsidTr="00764B67">
        <w:tc>
          <w:tcPr>
            <w:tcW w:w="1838" w:type="dxa"/>
          </w:tcPr>
          <w:p w14:paraId="7246094F" w14:textId="77777777" w:rsidR="005000A5" w:rsidRDefault="005000A5" w:rsidP="00764B67">
            <w:pPr>
              <w:rPr>
                <w:lang w:eastAsia="en-US"/>
              </w:rPr>
            </w:pPr>
            <w:r>
              <w:rPr>
                <w:lang w:eastAsia="en-US"/>
              </w:rPr>
              <w:t>178 Top Lane, Whitley</w:t>
            </w:r>
          </w:p>
        </w:tc>
        <w:tc>
          <w:tcPr>
            <w:tcW w:w="2693" w:type="dxa"/>
          </w:tcPr>
          <w:p w14:paraId="03E01FA7" w14:textId="77777777" w:rsidR="005000A5" w:rsidRDefault="005000A5" w:rsidP="00764B67">
            <w:pPr>
              <w:rPr>
                <w:lang w:eastAsia="en-US"/>
              </w:rPr>
            </w:pPr>
            <w:r>
              <w:rPr>
                <w:lang w:eastAsia="en-US"/>
              </w:rPr>
              <w:t>20/04234/FUL</w:t>
            </w:r>
          </w:p>
        </w:tc>
        <w:tc>
          <w:tcPr>
            <w:tcW w:w="1560" w:type="dxa"/>
          </w:tcPr>
          <w:p w14:paraId="482AF833" w14:textId="77777777" w:rsidR="005000A5" w:rsidRDefault="005000A5" w:rsidP="00764B67">
            <w:pPr>
              <w:rPr>
                <w:lang w:eastAsia="en-US"/>
              </w:rPr>
            </w:pPr>
            <w:r>
              <w:rPr>
                <w:lang w:eastAsia="en-US"/>
              </w:rPr>
              <w:t>1</w:t>
            </w:r>
          </w:p>
        </w:tc>
        <w:tc>
          <w:tcPr>
            <w:tcW w:w="1701" w:type="dxa"/>
          </w:tcPr>
          <w:p w14:paraId="33808EA6" w14:textId="77777777" w:rsidR="005000A5" w:rsidRDefault="005000A5" w:rsidP="00764B67">
            <w:pPr>
              <w:rPr>
                <w:lang w:eastAsia="en-US"/>
              </w:rPr>
            </w:pPr>
            <w:r>
              <w:rPr>
                <w:lang w:eastAsia="en-US"/>
              </w:rPr>
              <w:t>Built</w:t>
            </w:r>
          </w:p>
        </w:tc>
      </w:tr>
      <w:tr w:rsidR="005000A5" w14:paraId="2F0AC784" w14:textId="77777777" w:rsidTr="00764B67">
        <w:tc>
          <w:tcPr>
            <w:tcW w:w="1838" w:type="dxa"/>
          </w:tcPr>
          <w:p w14:paraId="5C9B67F0" w14:textId="77777777" w:rsidR="005000A5" w:rsidRDefault="005000A5" w:rsidP="00764B67">
            <w:pPr>
              <w:rPr>
                <w:lang w:eastAsia="en-US"/>
              </w:rPr>
            </w:pPr>
            <w:r>
              <w:rPr>
                <w:lang w:eastAsia="en-US"/>
              </w:rPr>
              <w:t>89 Corsham Road, Whitley</w:t>
            </w:r>
          </w:p>
        </w:tc>
        <w:tc>
          <w:tcPr>
            <w:tcW w:w="2693" w:type="dxa"/>
          </w:tcPr>
          <w:p w14:paraId="50EF568D" w14:textId="77777777" w:rsidR="005000A5" w:rsidRDefault="005000A5" w:rsidP="00764B67">
            <w:pPr>
              <w:rPr>
                <w:lang w:eastAsia="en-US"/>
              </w:rPr>
            </w:pPr>
            <w:r>
              <w:rPr>
                <w:lang w:eastAsia="en-US"/>
              </w:rPr>
              <w:t>PL/2025/03261</w:t>
            </w:r>
          </w:p>
        </w:tc>
        <w:tc>
          <w:tcPr>
            <w:tcW w:w="1560" w:type="dxa"/>
          </w:tcPr>
          <w:p w14:paraId="08D83C70" w14:textId="77777777" w:rsidR="005000A5" w:rsidRDefault="005000A5" w:rsidP="00764B67">
            <w:pPr>
              <w:rPr>
                <w:lang w:eastAsia="en-US"/>
              </w:rPr>
            </w:pPr>
            <w:r>
              <w:rPr>
                <w:lang w:eastAsia="en-US"/>
              </w:rPr>
              <w:t>1</w:t>
            </w:r>
          </w:p>
        </w:tc>
        <w:tc>
          <w:tcPr>
            <w:tcW w:w="1701" w:type="dxa"/>
          </w:tcPr>
          <w:p w14:paraId="6A9346AA" w14:textId="77777777" w:rsidR="005000A5" w:rsidRDefault="005000A5" w:rsidP="00764B67">
            <w:pPr>
              <w:rPr>
                <w:lang w:eastAsia="en-US"/>
              </w:rPr>
            </w:pPr>
            <w:r>
              <w:rPr>
                <w:lang w:eastAsia="en-US"/>
              </w:rPr>
              <w:t>Approved 01/7/25</w:t>
            </w:r>
          </w:p>
        </w:tc>
      </w:tr>
      <w:tr w:rsidR="005000A5" w14:paraId="170A3143" w14:textId="77777777" w:rsidTr="00764B67">
        <w:tc>
          <w:tcPr>
            <w:tcW w:w="1838" w:type="dxa"/>
          </w:tcPr>
          <w:p w14:paraId="4B94F209" w14:textId="77777777" w:rsidR="005000A5" w:rsidRDefault="005000A5" w:rsidP="00764B67">
            <w:pPr>
              <w:rPr>
                <w:lang w:eastAsia="en-US"/>
              </w:rPr>
            </w:pPr>
            <w:r>
              <w:rPr>
                <w:lang w:eastAsia="en-US"/>
              </w:rPr>
              <w:t>Mavern House, Corsham Road, Shaw</w:t>
            </w:r>
          </w:p>
        </w:tc>
        <w:tc>
          <w:tcPr>
            <w:tcW w:w="2693" w:type="dxa"/>
          </w:tcPr>
          <w:p w14:paraId="2C16305E" w14:textId="77777777" w:rsidR="005000A5" w:rsidRDefault="005000A5" w:rsidP="00764B67">
            <w:pPr>
              <w:rPr>
                <w:lang w:eastAsia="en-US"/>
              </w:rPr>
            </w:pPr>
            <w:r>
              <w:rPr>
                <w:lang w:eastAsia="en-US"/>
              </w:rPr>
              <w:t>2024/00631</w:t>
            </w:r>
          </w:p>
        </w:tc>
        <w:tc>
          <w:tcPr>
            <w:tcW w:w="1560" w:type="dxa"/>
          </w:tcPr>
          <w:p w14:paraId="6A4A4B9B" w14:textId="77777777" w:rsidR="005000A5" w:rsidRDefault="005000A5" w:rsidP="00764B67">
            <w:pPr>
              <w:rPr>
                <w:lang w:eastAsia="en-US"/>
              </w:rPr>
            </w:pPr>
            <w:r>
              <w:rPr>
                <w:lang w:eastAsia="en-US"/>
              </w:rPr>
              <w:t>1</w:t>
            </w:r>
          </w:p>
        </w:tc>
        <w:tc>
          <w:tcPr>
            <w:tcW w:w="1701" w:type="dxa"/>
          </w:tcPr>
          <w:p w14:paraId="3F4361C2" w14:textId="77777777" w:rsidR="005000A5" w:rsidRDefault="005000A5" w:rsidP="00764B67">
            <w:pPr>
              <w:rPr>
                <w:lang w:eastAsia="en-US"/>
              </w:rPr>
            </w:pPr>
            <w:r>
              <w:rPr>
                <w:lang w:eastAsia="en-US"/>
              </w:rPr>
              <w:t>Approved</w:t>
            </w:r>
          </w:p>
        </w:tc>
      </w:tr>
      <w:tr w:rsidR="005000A5" w14:paraId="36CAAEEA" w14:textId="77777777" w:rsidTr="00764B67">
        <w:tc>
          <w:tcPr>
            <w:tcW w:w="1838" w:type="dxa"/>
          </w:tcPr>
          <w:p w14:paraId="7D108C63" w14:textId="77777777" w:rsidR="005000A5" w:rsidRDefault="005000A5" w:rsidP="00764B67">
            <w:pPr>
              <w:rPr>
                <w:lang w:eastAsia="en-US"/>
              </w:rPr>
            </w:pPr>
            <w:r>
              <w:rPr>
                <w:lang w:eastAsia="en-US"/>
              </w:rPr>
              <w:t>Home Farm, Shaw</w:t>
            </w:r>
          </w:p>
        </w:tc>
        <w:tc>
          <w:tcPr>
            <w:tcW w:w="2693" w:type="dxa"/>
          </w:tcPr>
          <w:p w14:paraId="7EE6A2E1" w14:textId="77777777" w:rsidR="005000A5" w:rsidRDefault="005000A5" w:rsidP="00764B67">
            <w:pPr>
              <w:rPr>
                <w:lang w:eastAsia="en-US"/>
              </w:rPr>
            </w:pPr>
            <w:r>
              <w:rPr>
                <w:lang w:eastAsia="en-US"/>
              </w:rPr>
              <w:t>PL/2025/00965</w:t>
            </w:r>
          </w:p>
        </w:tc>
        <w:tc>
          <w:tcPr>
            <w:tcW w:w="1560" w:type="dxa"/>
          </w:tcPr>
          <w:p w14:paraId="710387BF" w14:textId="77777777" w:rsidR="005000A5" w:rsidRDefault="005000A5" w:rsidP="00764B67">
            <w:pPr>
              <w:rPr>
                <w:lang w:eastAsia="en-US"/>
              </w:rPr>
            </w:pPr>
            <w:r>
              <w:rPr>
                <w:lang w:eastAsia="en-US"/>
              </w:rPr>
              <w:t>2</w:t>
            </w:r>
          </w:p>
        </w:tc>
        <w:tc>
          <w:tcPr>
            <w:tcW w:w="1701" w:type="dxa"/>
          </w:tcPr>
          <w:p w14:paraId="2F7BADE3" w14:textId="77777777" w:rsidR="005000A5" w:rsidRDefault="005000A5" w:rsidP="00764B67">
            <w:pPr>
              <w:rPr>
                <w:lang w:eastAsia="en-US"/>
              </w:rPr>
            </w:pPr>
            <w:r>
              <w:rPr>
                <w:lang w:eastAsia="en-US"/>
              </w:rPr>
              <w:t xml:space="preserve">Awaiting decision </w:t>
            </w:r>
          </w:p>
        </w:tc>
      </w:tr>
      <w:tr w:rsidR="005000A5" w14:paraId="2DEBAAB2" w14:textId="77777777" w:rsidTr="00764B67">
        <w:tc>
          <w:tcPr>
            <w:tcW w:w="1838" w:type="dxa"/>
          </w:tcPr>
          <w:p w14:paraId="18A50B7F" w14:textId="77777777" w:rsidR="005000A5" w:rsidRDefault="005000A5" w:rsidP="00764B67">
            <w:pPr>
              <w:rPr>
                <w:lang w:eastAsia="en-US"/>
              </w:rPr>
            </w:pPr>
            <w:r>
              <w:rPr>
                <w:lang w:eastAsia="en-US"/>
              </w:rPr>
              <w:t>Land South East of Poplar Farm, Shaw</w:t>
            </w:r>
          </w:p>
        </w:tc>
        <w:tc>
          <w:tcPr>
            <w:tcW w:w="2693" w:type="dxa"/>
          </w:tcPr>
          <w:p w14:paraId="0EB6BB5D" w14:textId="77777777" w:rsidR="005000A5" w:rsidRDefault="005000A5" w:rsidP="00764B67">
            <w:pPr>
              <w:rPr>
                <w:lang w:eastAsia="en-US"/>
              </w:rPr>
            </w:pPr>
            <w:r>
              <w:rPr>
                <w:lang w:eastAsia="en-US"/>
              </w:rPr>
              <w:t>20/11342/FUL</w:t>
            </w:r>
          </w:p>
        </w:tc>
        <w:tc>
          <w:tcPr>
            <w:tcW w:w="1560" w:type="dxa"/>
          </w:tcPr>
          <w:p w14:paraId="133EA96B" w14:textId="77777777" w:rsidR="005000A5" w:rsidRDefault="005000A5" w:rsidP="00764B67">
            <w:pPr>
              <w:rPr>
                <w:lang w:eastAsia="en-US"/>
              </w:rPr>
            </w:pPr>
            <w:r>
              <w:rPr>
                <w:lang w:eastAsia="en-US"/>
              </w:rPr>
              <w:t>1</w:t>
            </w:r>
          </w:p>
        </w:tc>
        <w:tc>
          <w:tcPr>
            <w:tcW w:w="1701" w:type="dxa"/>
          </w:tcPr>
          <w:p w14:paraId="65F61E0C" w14:textId="77777777" w:rsidR="005000A5" w:rsidRDefault="005000A5" w:rsidP="00764B67">
            <w:pPr>
              <w:rPr>
                <w:lang w:eastAsia="en-US"/>
              </w:rPr>
            </w:pPr>
            <w:r>
              <w:rPr>
                <w:lang w:eastAsia="en-US"/>
              </w:rPr>
              <w:t>Approved</w:t>
            </w:r>
          </w:p>
        </w:tc>
      </w:tr>
      <w:tr w:rsidR="005000A5" w14:paraId="33A0934B" w14:textId="77777777" w:rsidTr="00764B67">
        <w:tc>
          <w:tcPr>
            <w:tcW w:w="1838" w:type="dxa"/>
          </w:tcPr>
          <w:p w14:paraId="45003D90" w14:textId="77777777" w:rsidR="005000A5" w:rsidRDefault="005000A5" w:rsidP="00764B67">
            <w:pPr>
              <w:rPr>
                <w:lang w:eastAsia="en-US"/>
              </w:rPr>
            </w:pPr>
            <w:r>
              <w:rPr>
                <w:lang w:eastAsia="en-US"/>
              </w:rPr>
              <w:t>26 Shaw Hill</w:t>
            </w:r>
          </w:p>
        </w:tc>
        <w:tc>
          <w:tcPr>
            <w:tcW w:w="2693" w:type="dxa"/>
          </w:tcPr>
          <w:p w14:paraId="3546A16B" w14:textId="77777777" w:rsidR="005000A5" w:rsidRDefault="005000A5" w:rsidP="00764B67">
            <w:pPr>
              <w:rPr>
                <w:lang w:eastAsia="en-US"/>
              </w:rPr>
            </w:pPr>
            <w:r>
              <w:rPr>
                <w:lang w:eastAsia="en-US"/>
              </w:rPr>
              <w:t>PL/2023/06990</w:t>
            </w:r>
          </w:p>
        </w:tc>
        <w:tc>
          <w:tcPr>
            <w:tcW w:w="1560" w:type="dxa"/>
          </w:tcPr>
          <w:p w14:paraId="71AB531F" w14:textId="77777777" w:rsidR="005000A5" w:rsidRDefault="005000A5" w:rsidP="00764B67">
            <w:pPr>
              <w:rPr>
                <w:lang w:eastAsia="en-US"/>
              </w:rPr>
            </w:pPr>
            <w:r>
              <w:rPr>
                <w:lang w:eastAsia="en-US"/>
              </w:rPr>
              <w:t>1</w:t>
            </w:r>
          </w:p>
        </w:tc>
        <w:tc>
          <w:tcPr>
            <w:tcW w:w="1701" w:type="dxa"/>
          </w:tcPr>
          <w:p w14:paraId="54A0B084" w14:textId="77777777" w:rsidR="005000A5" w:rsidRDefault="005000A5" w:rsidP="00764B67">
            <w:pPr>
              <w:rPr>
                <w:lang w:eastAsia="en-US"/>
              </w:rPr>
            </w:pPr>
            <w:r>
              <w:rPr>
                <w:lang w:eastAsia="en-US"/>
              </w:rPr>
              <w:t>Approved</w:t>
            </w:r>
          </w:p>
        </w:tc>
      </w:tr>
      <w:tr w:rsidR="005000A5" w:rsidRPr="00C3761B" w14:paraId="5F0B3C11" w14:textId="77777777" w:rsidTr="00764B67">
        <w:tc>
          <w:tcPr>
            <w:tcW w:w="1838" w:type="dxa"/>
          </w:tcPr>
          <w:p w14:paraId="323F67D5" w14:textId="77777777" w:rsidR="005000A5" w:rsidRPr="005000A5" w:rsidRDefault="005000A5" w:rsidP="00764B67">
            <w:pPr>
              <w:rPr>
                <w:lang w:eastAsia="en-US"/>
              </w:rPr>
            </w:pPr>
          </w:p>
        </w:tc>
        <w:tc>
          <w:tcPr>
            <w:tcW w:w="2693" w:type="dxa"/>
          </w:tcPr>
          <w:p w14:paraId="457F2A13" w14:textId="77777777" w:rsidR="005000A5" w:rsidRPr="005000A5" w:rsidRDefault="005000A5" w:rsidP="00764B67">
            <w:pPr>
              <w:rPr>
                <w:lang w:eastAsia="en-US"/>
              </w:rPr>
            </w:pPr>
            <w:r w:rsidRPr="005000A5">
              <w:rPr>
                <w:lang w:eastAsia="en-US"/>
              </w:rPr>
              <w:t>Total</w:t>
            </w:r>
          </w:p>
        </w:tc>
        <w:tc>
          <w:tcPr>
            <w:tcW w:w="1560" w:type="dxa"/>
          </w:tcPr>
          <w:p w14:paraId="3A7DF09F" w14:textId="77777777" w:rsidR="005000A5" w:rsidRPr="005000A5" w:rsidRDefault="005000A5" w:rsidP="00764B67">
            <w:pPr>
              <w:rPr>
                <w:lang w:eastAsia="en-US"/>
              </w:rPr>
            </w:pPr>
            <w:r w:rsidRPr="005000A5">
              <w:rPr>
                <w:lang w:eastAsia="en-US"/>
              </w:rPr>
              <w:t>75</w:t>
            </w:r>
          </w:p>
        </w:tc>
        <w:tc>
          <w:tcPr>
            <w:tcW w:w="1701" w:type="dxa"/>
          </w:tcPr>
          <w:p w14:paraId="0C84D5D0" w14:textId="77777777" w:rsidR="005000A5" w:rsidRPr="005000A5" w:rsidRDefault="005000A5" w:rsidP="00764B67">
            <w:pPr>
              <w:rPr>
                <w:lang w:eastAsia="en-US"/>
              </w:rPr>
            </w:pPr>
          </w:p>
        </w:tc>
      </w:tr>
    </w:tbl>
    <w:p w14:paraId="37D1D6B7" w14:textId="77777777" w:rsidR="005000A5" w:rsidRDefault="005000A5" w:rsidP="005000A5"/>
    <w:p w14:paraId="6960083B" w14:textId="0AF1C9EC" w:rsidR="005000A5" w:rsidRDefault="005000A5" w:rsidP="005000A5">
      <w:r>
        <w:t>The Parish Council is concerned that the proposed conversion to residential use would introduce urbanising effects, including domestic lighting, altered activity patterns, parking and curtilage domestication, which would erode countryside character and settlement separation, contrary to JMNP2 Policy 19</w:t>
      </w:r>
      <w:r w:rsidR="00AE3649">
        <w:t xml:space="preserve"> (Separation of Settlements between Shaw and Melksham)</w:t>
      </w:r>
      <w:r>
        <w:t>.</w:t>
      </w:r>
    </w:p>
    <w:p w14:paraId="2428B320" w14:textId="46A98EA2" w:rsidR="005000A5" w:rsidRDefault="005000A5" w:rsidP="005000A5">
      <w:r>
        <w:t>The Council notes that JMNP2 places strong emphasis on the retention of viable employment land</w:t>
      </w:r>
      <w:r w:rsidR="00AE3649">
        <w:t xml:space="preserve"> (Policy 10 Employment Sites)</w:t>
      </w:r>
      <w:r>
        <w:t>, reflecting an identified shortage of such land in Melksham. While acknowledging the scope of Class MA, the loss of employment floorspace is a material consideration and raises heightened agent-of-change concerns, with potential future conflict between residential occupiers and remaining employment uses</w:t>
      </w:r>
      <w:r w:rsidR="00AE3649">
        <w:t xml:space="preserve">. </w:t>
      </w:r>
    </w:p>
    <w:p w14:paraId="486C977C" w14:textId="089D267F" w:rsidR="005000A5" w:rsidRDefault="005000A5" w:rsidP="005000A5">
      <w:r>
        <w:t>The application also fails to demonstrate adequate protection of trees, hedgerows and boundary vegetation, as required by JMNP2 Policy 17</w:t>
      </w:r>
      <w:r w:rsidR="00AE3649">
        <w:t xml:space="preserve"> (Trees and Hedgerows)</w:t>
      </w:r>
      <w:r>
        <w:t>, particularly given the sensitivity of this rural edge location.</w:t>
      </w:r>
    </w:p>
    <w:p w14:paraId="08FC471E" w14:textId="41F4D7BC" w:rsidR="005000A5" w:rsidRDefault="005000A5" w:rsidP="005000A5">
      <w:r>
        <w:t>For these reasons, the Parish Council considers that the proposal would result in unacceptable impacts under the Class MA prior approval tests and objects to prior approval being granted.</w:t>
      </w:r>
    </w:p>
    <w:p w14:paraId="38E4DC6D" w14:textId="43C956CA" w:rsidR="00353BA8" w:rsidRDefault="005000A5" w:rsidP="005000A5">
      <w:pPr>
        <w:rPr>
          <w:lang w:val="en-US"/>
        </w:rPr>
      </w:pPr>
      <w:r w:rsidRPr="00E049CA">
        <w:rPr>
          <w:lang w:val="en-US"/>
        </w:rPr>
        <w:t xml:space="preserve">However, should Wiltshire Council be minded to approve the application, </w:t>
      </w:r>
      <w:r w:rsidR="00A42278">
        <w:rPr>
          <w:lang w:val="en-US"/>
        </w:rPr>
        <w:t>the following requirements of the Neighbourhood Plan (NHP) are requested</w:t>
      </w:r>
      <w:r w:rsidR="00353BA8">
        <w:rPr>
          <w:lang w:val="en-US"/>
        </w:rPr>
        <w:t>:</w:t>
      </w:r>
    </w:p>
    <w:p w14:paraId="5140FFEC" w14:textId="62F08285" w:rsidR="005000A5" w:rsidRPr="00353BA8" w:rsidRDefault="00353BA8" w:rsidP="00AE3649">
      <w:pPr>
        <w:pStyle w:val="ListParagraph"/>
        <w:numPr>
          <w:ilvl w:val="0"/>
          <w:numId w:val="8"/>
        </w:numPr>
        <w:rPr>
          <w:rFonts w:ascii="Arial" w:eastAsia="Times New Roman" w:hAnsi="Arial" w:cs="Times New Roman"/>
          <w:kern w:val="0"/>
          <w:sz w:val="24"/>
          <w:szCs w:val="24"/>
          <w:lang w:val="en-US"/>
          <w14:ligatures w14:val="none"/>
        </w:rPr>
      </w:pPr>
      <w:r w:rsidRPr="00353BA8">
        <w:rPr>
          <w:rFonts w:ascii="Arial" w:eastAsia="Times New Roman" w:hAnsi="Arial" w:cs="Times New Roman"/>
          <w:kern w:val="0"/>
          <w:sz w:val="24"/>
          <w:szCs w:val="24"/>
          <w:lang w:val="en-US"/>
          <w14:ligatures w14:val="none"/>
        </w:rPr>
        <w:t xml:space="preserve">The </w:t>
      </w:r>
      <w:r w:rsidR="00AE3649" w:rsidRPr="00353BA8">
        <w:rPr>
          <w:rFonts w:ascii="Arial" w:eastAsia="Times New Roman" w:hAnsi="Arial" w:cs="Times New Roman"/>
          <w:kern w:val="0"/>
          <w:sz w:val="24"/>
          <w:szCs w:val="24"/>
          <w:lang w:val="en-US"/>
          <w14:ligatures w14:val="none"/>
        </w:rPr>
        <w:t>housing mix, type and tenure should be as per</w:t>
      </w:r>
      <w:r w:rsidRPr="00353BA8">
        <w:rPr>
          <w:rFonts w:ascii="Arial" w:eastAsia="Times New Roman" w:hAnsi="Arial" w:cs="Times New Roman"/>
          <w:kern w:val="0"/>
          <w:sz w:val="24"/>
          <w:szCs w:val="24"/>
          <w:lang w:val="en-US"/>
          <w14:ligatures w14:val="none"/>
        </w:rPr>
        <w:t xml:space="preserve"> </w:t>
      </w:r>
      <w:r w:rsidR="00AE3649" w:rsidRPr="00353BA8">
        <w:rPr>
          <w:rFonts w:ascii="Arial" w:eastAsia="Times New Roman" w:hAnsi="Arial" w:cs="Times New Roman"/>
          <w:kern w:val="0"/>
          <w:sz w:val="24"/>
          <w:szCs w:val="24"/>
          <w:lang w:val="en-US"/>
          <w14:ligatures w14:val="none"/>
        </w:rPr>
        <w:t xml:space="preserve">the Melksham Housing needs assessment and </w:t>
      </w:r>
      <w:r w:rsidRPr="00353BA8">
        <w:rPr>
          <w:rFonts w:ascii="Arial" w:eastAsia="Times New Roman" w:hAnsi="Arial" w:cs="Times New Roman"/>
          <w:kern w:val="0"/>
          <w:sz w:val="24"/>
          <w:szCs w:val="24"/>
          <w:lang w:val="en-US"/>
          <w14:ligatures w14:val="none"/>
        </w:rPr>
        <w:t xml:space="preserve">NHP </w:t>
      </w:r>
      <w:r w:rsidR="00AE3649" w:rsidRPr="00353BA8">
        <w:rPr>
          <w:rFonts w:ascii="Arial" w:eastAsia="Times New Roman" w:hAnsi="Arial" w:cs="Times New Roman"/>
          <w:kern w:val="0"/>
          <w:sz w:val="24"/>
          <w:szCs w:val="24"/>
          <w:lang w:val="en-US"/>
          <w14:ligatures w14:val="none"/>
        </w:rPr>
        <w:t xml:space="preserve">Policy 6e at Shaw and Whitley, </w:t>
      </w:r>
      <w:r w:rsidRPr="00353BA8">
        <w:rPr>
          <w:rFonts w:ascii="Arial" w:eastAsia="Times New Roman" w:hAnsi="Arial" w:cs="Times New Roman"/>
          <w:kern w:val="0"/>
          <w:sz w:val="24"/>
          <w:szCs w:val="24"/>
          <w:lang w:val="en-US"/>
          <w14:ligatures w14:val="none"/>
        </w:rPr>
        <w:t xml:space="preserve">and </w:t>
      </w:r>
      <w:r w:rsidR="00AE3649" w:rsidRPr="00353BA8">
        <w:rPr>
          <w:rFonts w:ascii="Arial" w:eastAsia="Times New Roman" w:hAnsi="Arial" w:cs="Times New Roman"/>
          <w:kern w:val="0"/>
          <w:sz w:val="24"/>
          <w:szCs w:val="24"/>
          <w:lang w:val="en-US"/>
          <w14:ligatures w14:val="none"/>
        </w:rPr>
        <w:t xml:space="preserve">the Melksham Design guide and </w:t>
      </w:r>
      <w:r>
        <w:rPr>
          <w:rFonts w:ascii="Arial" w:eastAsia="Times New Roman" w:hAnsi="Arial" w:cs="Times New Roman"/>
          <w:kern w:val="0"/>
          <w:sz w:val="24"/>
          <w:szCs w:val="24"/>
          <w:lang w:val="en-US"/>
          <w14:ligatures w14:val="none"/>
        </w:rPr>
        <w:t xml:space="preserve">NHP </w:t>
      </w:r>
      <w:r w:rsidR="00AE3649" w:rsidRPr="00353BA8">
        <w:rPr>
          <w:rFonts w:ascii="Arial" w:eastAsia="Times New Roman" w:hAnsi="Arial" w:cs="Times New Roman"/>
          <w:kern w:val="0"/>
          <w:sz w:val="24"/>
          <w:szCs w:val="24"/>
          <w:lang w:val="en-US"/>
          <w14:ligatures w14:val="none"/>
        </w:rPr>
        <w:t>Policy 20 (Locally distinctive, High Quality Design)</w:t>
      </w:r>
      <w:r w:rsidR="00EF47B0" w:rsidRPr="00353BA8">
        <w:rPr>
          <w:rFonts w:ascii="Arial" w:eastAsia="Times New Roman" w:hAnsi="Arial" w:cs="Times New Roman"/>
          <w:kern w:val="0"/>
          <w:sz w:val="24"/>
          <w:szCs w:val="24"/>
          <w:lang w:val="en-US"/>
          <w14:ligatures w14:val="none"/>
        </w:rPr>
        <w:t>:</w:t>
      </w:r>
    </w:p>
    <w:p w14:paraId="04EE7993" w14:textId="37808F6D" w:rsidR="00AE3649" w:rsidRPr="00353BA8" w:rsidRDefault="00353BA8" w:rsidP="00AE3649">
      <w:pPr>
        <w:pStyle w:val="ListParagraph"/>
        <w:numPr>
          <w:ilvl w:val="0"/>
          <w:numId w:val="8"/>
        </w:numPr>
        <w:rPr>
          <w:rFonts w:ascii="Arial" w:eastAsia="Times New Roman" w:hAnsi="Arial" w:cs="Times New Roman"/>
          <w:kern w:val="0"/>
          <w:sz w:val="24"/>
          <w:szCs w:val="24"/>
          <w:lang w:val="en-US"/>
          <w14:ligatures w14:val="none"/>
        </w:rPr>
      </w:pPr>
      <w:r>
        <w:rPr>
          <w:rFonts w:ascii="Arial" w:eastAsia="Times New Roman" w:hAnsi="Arial" w:cs="Times New Roman"/>
          <w:kern w:val="0"/>
          <w:sz w:val="24"/>
          <w:szCs w:val="24"/>
          <w:lang w:val="en-US"/>
          <w14:ligatures w14:val="none"/>
        </w:rPr>
        <w:t>Development proposals in locations with known flooding issues should include appropriate mitigation and construction methods, and, where appropriate contributions towards wider catchment projects.  This is particularly relevant to the South Brook catchment area</w:t>
      </w:r>
      <w:r w:rsidR="00A42278">
        <w:rPr>
          <w:rFonts w:ascii="Arial" w:eastAsia="Times New Roman" w:hAnsi="Arial" w:cs="Times New Roman"/>
          <w:kern w:val="0"/>
          <w:sz w:val="24"/>
          <w:szCs w:val="24"/>
          <w:lang w:val="en-US"/>
          <w14:ligatures w14:val="none"/>
        </w:rPr>
        <w:t xml:space="preserve"> (which includes the location of this development)</w:t>
      </w:r>
      <w:r>
        <w:rPr>
          <w:rFonts w:ascii="Arial" w:eastAsia="Times New Roman" w:hAnsi="Arial" w:cs="Times New Roman"/>
          <w:kern w:val="0"/>
          <w:sz w:val="24"/>
          <w:szCs w:val="24"/>
          <w:lang w:val="en-US"/>
          <w14:ligatures w14:val="none"/>
        </w:rPr>
        <w:t xml:space="preserve"> which has been identified as a priority flood risk area due to surface water flooding (</w:t>
      </w:r>
      <w:r w:rsidR="00AE3649" w:rsidRPr="00353BA8">
        <w:rPr>
          <w:rFonts w:ascii="Arial" w:eastAsia="Times New Roman" w:hAnsi="Arial" w:cs="Times New Roman"/>
          <w:kern w:val="0"/>
          <w:sz w:val="24"/>
          <w:szCs w:val="24"/>
          <w:lang w:val="en-US"/>
          <w14:ligatures w14:val="none"/>
        </w:rPr>
        <w:t xml:space="preserve">Policy 3 </w:t>
      </w:r>
      <w:r>
        <w:rPr>
          <w:rFonts w:ascii="Arial" w:eastAsia="Times New Roman" w:hAnsi="Arial" w:cs="Times New Roman"/>
          <w:kern w:val="0"/>
          <w:sz w:val="24"/>
          <w:szCs w:val="24"/>
          <w:lang w:val="en-US"/>
          <w14:ligatures w14:val="none"/>
        </w:rPr>
        <w:t>Flood Risk and Natural Flood Management)</w:t>
      </w:r>
      <w:r w:rsidR="00A42278">
        <w:rPr>
          <w:rFonts w:ascii="Arial" w:eastAsia="Times New Roman" w:hAnsi="Arial" w:cs="Times New Roman"/>
          <w:kern w:val="0"/>
          <w:sz w:val="24"/>
          <w:szCs w:val="24"/>
          <w:lang w:val="en-US"/>
          <w14:ligatures w14:val="none"/>
        </w:rPr>
        <w:t>.</w:t>
      </w:r>
    </w:p>
    <w:p w14:paraId="2B43110D" w14:textId="77777777" w:rsidR="005000A5" w:rsidRPr="00E049CA" w:rsidRDefault="005000A5" w:rsidP="005000A5">
      <w:pPr>
        <w:rPr>
          <w:lang w:val="en-US"/>
        </w:rPr>
      </w:pPr>
    </w:p>
    <w:p w14:paraId="0E695A71" w14:textId="77777777" w:rsidR="005915F8" w:rsidRDefault="005915F8"/>
    <w:sectPr w:rsidR="005915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94C11"/>
    <w:multiLevelType w:val="hybridMultilevel"/>
    <w:tmpl w:val="EF4A90D6"/>
    <w:lvl w:ilvl="0" w:tplc="345C1A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3B07B3"/>
    <w:multiLevelType w:val="hybridMultilevel"/>
    <w:tmpl w:val="2EE428EC"/>
    <w:lvl w:ilvl="0" w:tplc="345C1A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0E1458"/>
    <w:multiLevelType w:val="hybridMultilevel"/>
    <w:tmpl w:val="4DDEC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0D07CE"/>
    <w:multiLevelType w:val="hybridMultilevel"/>
    <w:tmpl w:val="2EA0005C"/>
    <w:lvl w:ilvl="0" w:tplc="345C1A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883A43"/>
    <w:multiLevelType w:val="hybridMultilevel"/>
    <w:tmpl w:val="BE123730"/>
    <w:lvl w:ilvl="0" w:tplc="345C1A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D371FA"/>
    <w:multiLevelType w:val="hybridMultilevel"/>
    <w:tmpl w:val="C316AE8E"/>
    <w:lvl w:ilvl="0" w:tplc="345C1A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664AA9"/>
    <w:multiLevelType w:val="hybridMultilevel"/>
    <w:tmpl w:val="89D884EE"/>
    <w:lvl w:ilvl="0" w:tplc="345C1AB4">
      <w:numFmt w:val="bullet"/>
      <w:lvlText w:val="•"/>
      <w:lvlJc w:val="left"/>
      <w:pPr>
        <w:ind w:left="789" w:hanging="360"/>
      </w:pPr>
      <w:rPr>
        <w:rFonts w:ascii="Arial" w:eastAsia="Times New Roman" w:hAnsi="Arial" w:cs="Aria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7" w15:restartNumberingAfterBreak="0">
    <w:nsid w:val="7D1260D3"/>
    <w:multiLevelType w:val="hybridMultilevel"/>
    <w:tmpl w:val="EA869AA6"/>
    <w:lvl w:ilvl="0" w:tplc="345C1A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1937764">
    <w:abstractNumId w:val="2"/>
  </w:num>
  <w:num w:numId="2" w16cid:durableId="753478362">
    <w:abstractNumId w:val="7"/>
  </w:num>
  <w:num w:numId="3" w16cid:durableId="1500735873">
    <w:abstractNumId w:val="1"/>
  </w:num>
  <w:num w:numId="4" w16cid:durableId="213469087">
    <w:abstractNumId w:val="0"/>
  </w:num>
  <w:num w:numId="5" w16cid:durableId="1764835314">
    <w:abstractNumId w:val="3"/>
  </w:num>
  <w:num w:numId="6" w16cid:durableId="893199391">
    <w:abstractNumId w:val="4"/>
  </w:num>
  <w:num w:numId="7" w16cid:durableId="351614337">
    <w:abstractNumId w:val="5"/>
  </w:num>
  <w:num w:numId="8" w16cid:durableId="7695427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A5"/>
    <w:rsid w:val="002C6D93"/>
    <w:rsid w:val="00353BA8"/>
    <w:rsid w:val="0039370E"/>
    <w:rsid w:val="005000A5"/>
    <w:rsid w:val="005915F8"/>
    <w:rsid w:val="005B5F3C"/>
    <w:rsid w:val="007F6F5B"/>
    <w:rsid w:val="00A42278"/>
    <w:rsid w:val="00AE3649"/>
    <w:rsid w:val="00EF47B0"/>
    <w:rsid w:val="00F73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BF98A"/>
  <w15:chartTrackingRefBased/>
  <w15:docId w15:val="{5CDCC3F6-EEAF-445C-8F75-A7FE7CA7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A5"/>
    <w:pPr>
      <w:spacing w:before="120" w:after="12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5000A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000A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000A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000A5"/>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000A5"/>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000A5"/>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000A5"/>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000A5"/>
    <w:pPr>
      <w:keepNext/>
      <w:keepLines/>
      <w:spacing w:before="0" w:after="0"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000A5"/>
    <w:pPr>
      <w:keepNext/>
      <w:keepLines/>
      <w:spacing w:before="0" w:after="0"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0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00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00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00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00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0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0A5"/>
    <w:rPr>
      <w:rFonts w:eastAsiaTheme="majorEastAsia" w:cstheme="majorBidi"/>
      <w:color w:val="272727" w:themeColor="text1" w:themeTint="D8"/>
    </w:rPr>
  </w:style>
  <w:style w:type="paragraph" w:styleId="Title">
    <w:name w:val="Title"/>
    <w:basedOn w:val="Normal"/>
    <w:next w:val="Normal"/>
    <w:link w:val="TitleChar"/>
    <w:uiPriority w:val="10"/>
    <w:qFormat/>
    <w:rsid w:val="005000A5"/>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00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0A5"/>
    <w:pPr>
      <w:numPr>
        <w:ilvl w:val="1"/>
      </w:numPr>
      <w:spacing w:before="0"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00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0A5"/>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000A5"/>
    <w:rPr>
      <w:i/>
      <w:iCs/>
      <w:color w:val="404040" w:themeColor="text1" w:themeTint="BF"/>
    </w:rPr>
  </w:style>
  <w:style w:type="paragraph" w:styleId="ListParagraph">
    <w:name w:val="List Paragraph"/>
    <w:aliases w:val="List Paragraph A"/>
    <w:basedOn w:val="Normal"/>
    <w:link w:val="ListParagraphChar"/>
    <w:qFormat/>
    <w:rsid w:val="005000A5"/>
    <w:pPr>
      <w:spacing w:before="0"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5000A5"/>
    <w:rPr>
      <w:i/>
      <w:iCs/>
      <w:color w:val="2F5496" w:themeColor="accent1" w:themeShade="BF"/>
    </w:rPr>
  </w:style>
  <w:style w:type="paragraph" w:styleId="IntenseQuote">
    <w:name w:val="Intense Quote"/>
    <w:basedOn w:val="Normal"/>
    <w:next w:val="Normal"/>
    <w:link w:val="IntenseQuoteChar"/>
    <w:uiPriority w:val="30"/>
    <w:qFormat/>
    <w:rsid w:val="005000A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000A5"/>
    <w:rPr>
      <w:i/>
      <w:iCs/>
      <w:color w:val="2F5496" w:themeColor="accent1" w:themeShade="BF"/>
    </w:rPr>
  </w:style>
  <w:style w:type="character" w:styleId="IntenseReference">
    <w:name w:val="Intense Reference"/>
    <w:basedOn w:val="DefaultParagraphFont"/>
    <w:uiPriority w:val="32"/>
    <w:qFormat/>
    <w:rsid w:val="005000A5"/>
    <w:rPr>
      <w:b/>
      <w:bCs/>
      <w:smallCaps/>
      <w:color w:val="2F5496" w:themeColor="accent1" w:themeShade="BF"/>
      <w:spacing w:val="5"/>
    </w:rPr>
  </w:style>
  <w:style w:type="table" w:styleId="TableGrid">
    <w:name w:val="Table Grid"/>
    <w:basedOn w:val="TableNormal"/>
    <w:uiPriority w:val="39"/>
    <w:rsid w:val="005000A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000A5"/>
    <w:rPr>
      <w:color w:val="0563C1"/>
      <w:u w:val="single"/>
    </w:rPr>
  </w:style>
  <w:style w:type="character" w:customStyle="1" w:styleId="ListParagraphChar">
    <w:name w:val="List Paragraph Char"/>
    <w:aliases w:val="List Paragraph A Char"/>
    <w:link w:val="ListParagraph"/>
    <w:locked/>
    <w:rsid w:val="00500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evelopment.wiltshire.gov.uk/pr/s/planning-application/a0iQ300000Ialu5IA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779</Words>
  <Characters>4436</Characters>
  <Application>Microsoft Office Word</Application>
  <DocSecurity>0</DocSecurity>
  <Lines>164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McRandle</dc:creator>
  <cp:keywords/>
  <dc:description/>
  <cp:lastModifiedBy>Teresa Strange</cp:lastModifiedBy>
  <cp:revision>8</cp:revision>
  <dcterms:created xsi:type="dcterms:W3CDTF">2026-01-15T14:43:00Z</dcterms:created>
  <dcterms:modified xsi:type="dcterms:W3CDTF">2026-01-15T21:17:00Z</dcterms:modified>
</cp:coreProperties>
</file>