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DC5B5" w14:textId="5FB2086D" w:rsidR="00097010" w:rsidRDefault="00F81210" w:rsidP="00085C56">
      <w:pPr>
        <w:spacing w:after="0" w:line="276" w:lineRule="auto"/>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ELECTRICITY OVERHEAD LINES NOTIFICATION CASE OFFICE REPORT </w:t>
      </w:r>
    </w:p>
    <w:p w14:paraId="6EF6BA3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86D3B4B" w14:textId="77777777" w:rsidTr="00683C17">
        <w:tc>
          <w:tcPr>
            <w:tcW w:w="3681" w:type="dxa"/>
          </w:tcPr>
          <w:p w14:paraId="0A53E8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01388A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PL/2025/09417</w:t>
            </w:r>
          </w:p>
        </w:tc>
      </w:tr>
      <w:tr w:rsidR="00097010" w14:paraId="0A0E8D9A" w14:textId="77777777" w:rsidTr="00683C17">
        <w:tc>
          <w:tcPr>
            <w:tcW w:w="3681" w:type="dxa"/>
          </w:tcPr>
          <w:p w14:paraId="318865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8AD43C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Section 37 Notification - Overhead Lines Electricity Act</w:t>
            </w:r>
          </w:p>
        </w:tc>
      </w:tr>
      <w:tr w:rsidR="00097010" w14:paraId="76CED20C" w14:textId="77777777" w:rsidTr="00683C17">
        <w:tc>
          <w:tcPr>
            <w:tcW w:w="3681" w:type="dxa"/>
          </w:tcPr>
          <w:p w14:paraId="6B5B120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FCF828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Land South of B3089 &amp; Adjacent to Hindon Lane, Fonthill Gifford</w:t>
            </w:r>
          </w:p>
        </w:tc>
      </w:tr>
      <w:tr w:rsidR="00097010" w14:paraId="437E6448" w14:textId="77777777" w:rsidTr="00683C17">
        <w:tc>
          <w:tcPr>
            <w:tcW w:w="3681" w:type="dxa"/>
          </w:tcPr>
          <w:p w14:paraId="775D1D3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A37387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existing poles 14, 6, 5, 4, 3, 2, 1, 18 as shown on the attached plans, in order to accommodate heavier conductors required for reinforcement of the overhead lines.</w:t>
            </w:r>
          </w:p>
        </w:tc>
      </w:tr>
      <w:tr w:rsidR="00097010" w14:paraId="4FD52B31" w14:textId="77777777" w:rsidTr="00683C17">
        <w:tc>
          <w:tcPr>
            <w:tcW w:w="3681" w:type="dxa"/>
          </w:tcPr>
          <w:p w14:paraId="62D9EE5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98F3FD" w14:textId="36127DC1" w:rsidR="00680DA9" w:rsidRDefault="00F81210" w:rsidP="00680DA9">
            <w:pPr>
              <w:spacing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 Objection</w:t>
            </w:r>
          </w:p>
        </w:tc>
      </w:tr>
    </w:tbl>
    <w:p w14:paraId="3FE6E16D"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C23F157"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r w:rsidRPr="00785094">
        <w:rPr>
          <w:rFonts w:ascii="Arial" w:eastAsia="Times New Roman" w:hAnsi="Arial" w:cs="Arial"/>
          <w:b/>
          <w:bCs/>
          <w:kern w:val="0"/>
          <w:sz w:val="22"/>
          <w:szCs w:val="22"/>
          <w:lang w:eastAsia="en-GB"/>
          <w14:ligatures w14:val="none"/>
        </w:rPr>
        <w:t>Electricity Overhead Lines Notification</w:t>
      </w:r>
    </w:p>
    <w:p w14:paraId="7AF26B15"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p>
    <w:p w14:paraId="59EE54DF"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r w:rsidRPr="00785094">
        <w:rPr>
          <w:rFonts w:ascii="Arial" w:eastAsia="Times New Roman" w:hAnsi="Arial" w:cs="Arial"/>
          <w:b/>
          <w:bCs/>
          <w:kern w:val="0"/>
          <w:sz w:val="22"/>
          <w:szCs w:val="22"/>
          <w:lang w:eastAsia="en-GB"/>
          <w14:ligatures w14:val="none"/>
        </w:rPr>
        <w:t>Section 37 of the Electricity Act 1989</w:t>
      </w:r>
    </w:p>
    <w:p w14:paraId="29B549F5"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p>
    <w:p w14:paraId="273AC6AE" w14:textId="2ABA539B"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r w:rsidRPr="00785094">
        <w:rPr>
          <w:rFonts w:ascii="Arial" w:eastAsia="Times New Roman" w:hAnsi="Arial" w:cs="Arial"/>
          <w:b/>
          <w:bCs/>
          <w:kern w:val="0"/>
          <w:sz w:val="22"/>
          <w:szCs w:val="22"/>
          <w:lang w:eastAsia="en-GB"/>
          <w14:ligatures w14:val="none"/>
        </w:rPr>
        <w:t>Guidance: The Statutory Consents regime for overhead power lines in England and Wales Guidance Note July 201</w:t>
      </w:r>
      <w:r w:rsidR="00AC1776">
        <w:rPr>
          <w:rFonts w:ascii="Arial" w:eastAsia="Times New Roman" w:hAnsi="Arial" w:cs="Arial"/>
          <w:b/>
          <w:bCs/>
          <w:kern w:val="0"/>
          <w:sz w:val="22"/>
          <w:szCs w:val="22"/>
          <w:lang w:eastAsia="en-GB"/>
          <w14:ligatures w14:val="none"/>
        </w:rPr>
        <w:t>4</w:t>
      </w:r>
    </w:p>
    <w:p w14:paraId="639BFEB8"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p>
    <w:p w14:paraId="64B032BE" w14:textId="14E4C89F"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The guidance note states:</w:t>
      </w:r>
    </w:p>
    <w:p w14:paraId="24E832AE"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Applications for consent of overhead lines that fall within section 37 of the Electricity Act 1989 are made to the Secretary of State for Energy and Climate Change. The section 37 regime enables views to be gathered on any particular overhead line proposal before the Secretary of State makes a decision to grant consent. Views are obtained by the applicant from the relevant planning authority on behalf of the local community, and from statutory bodies with responsibilities for environmental and heritage protection such as Natural England, Natural Resources Wales (NRW), Cadw, English Heritage, Welsh Historic Monuments and, where appropriate, the Environment Agency. These views are then submitted to the Secretary of State to help inform the decision-making process on the application.</w:t>
      </w:r>
    </w:p>
    <w:p w14:paraId="24E64B4B"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7AED092F"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The general public and nongovernmental organisations may also give their views on any proposal. All applications for consent are considered by the Secretary of State carefully on a case-by-case basis and a decision is taken on the merits of each proposal. If consent under section 37 is granted, the Secretary of State may also give a direction for planning permission to be deemed to be granted for the development under section 90(2) of the Town and Country Planning Act 1990.</w:t>
      </w:r>
    </w:p>
    <w:p w14:paraId="78BDE36C"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72865751"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Where the applicant proposes works to replace an existing overhead line that are exempt from obtaining new consent under section 37, the relevant planning authority must be notified. If the relevant planning authority considers that there is likely to be a significant adverse environmental effect, it may require that the works should obtain new section 37 consent.</w:t>
      </w:r>
    </w:p>
    <w:p w14:paraId="211E4DF1"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26D0B963"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When preparing an application for consent of an overhead line, the applicant must:</w:t>
      </w:r>
    </w:p>
    <w:p w14:paraId="0027FCEE"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3064C14A" w14:textId="2CD59755" w:rsidR="00F81210" w:rsidRPr="00785094" w:rsidRDefault="00F81210" w:rsidP="00785094">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lastRenderedPageBreak/>
        <w:t>have regard to the desirability of preserving natural beauty, of conserving flora, fauna and geological or physiographical features of special interest and of protecting sites, buildings and objects of architectural, historic or archaeological interest; and</w:t>
      </w:r>
    </w:p>
    <w:p w14:paraId="0F4D8AE1" w14:textId="2D04DEB6" w:rsidR="00F81210" w:rsidRPr="00785094" w:rsidRDefault="00F81210" w:rsidP="00785094">
      <w:pPr>
        <w:pStyle w:val="ListParagraph"/>
        <w:spacing w:after="0" w:line="276" w:lineRule="auto"/>
        <w:jc w:val="both"/>
        <w:rPr>
          <w:rFonts w:ascii="Arial" w:eastAsia="Times New Roman" w:hAnsi="Arial" w:cs="Arial"/>
          <w:kern w:val="0"/>
          <w:sz w:val="22"/>
          <w:szCs w:val="22"/>
          <w:lang w:eastAsia="en-GB"/>
          <w14:ligatures w14:val="none"/>
        </w:rPr>
      </w:pPr>
    </w:p>
    <w:p w14:paraId="245801CF"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(b) do what they reasonably can to mitigate any effect which the proposals would have on the natural beauty of the countryside or on any such flora, fauna, features, sites, buildings or objects.</w:t>
      </w:r>
    </w:p>
    <w:p w14:paraId="56BCF5EE"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5F4A3871"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The relevant planning authority is given the opportunity to form a view on whether proposed changes to install additional pole supports into an existing line is likely to have a significant adverse environmental impact; whether the introduction of new generation components are acceptable and, given the previous requirement for section 37 consent for temporary lines in National Parks and AONBs (but not in SSSIs) has been removed, that they give their authorisation to the works taking place to the applicant as soon as possible.</w:t>
      </w:r>
    </w:p>
    <w:p w14:paraId="1964C06B"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3D642383"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r w:rsidRPr="00785094">
        <w:rPr>
          <w:rFonts w:ascii="Arial" w:eastAsia="Times New Roman" w:hAnsi="Arial" w:cs="Arial"/>
          <w:b/>
          <w:bCs/>
          <w:kern w:val="0"/>
          <w:sz w:val="22"/>
          <w:szCs w:val="22"/>
          <w:lang w:eastAsia="en-GB"/>
          <w14:ligatures w14:val="none"/>
        </w:rPr>
        <w:t>A simplified procedure is applied under which the applicant submits a notification to the relevant planning authority (Annex D) for proposed works. The relevant planning authority will screen notifications and respond to the applicant within six weeks advising if they have no objections or wish to invoke the full section 37 process for that proposal.</w:t>
      </w:r>
    </w:p>
    <w:p w14:paraId="4BBD2373" w14:textId="77777777" w:rsidR="00F81210" w:rsidRPr="00785094" w:rsidRDefault="00F81210" w:rsidP="00785094">
      <w:pPr>
        <w:spacing w:after="0" w:line="276" w:lineRule="auto"/>
        <w:jc w:val="both"/>
        <w:rPr>
          <w:rFonts w:ascii="Arial" w:eastAsia="Times New Roman" w:hAnsi="Arial" w:cs="Arial"/>
          <w:b/>
          <w:bCs/>
          <w:kern w:val="0"/>
          <w:sz w:val="22"/>
          <w:szCs w:val="22"/>
          <w:lang w:eastAsia="en-GB"/>
          <w14:ligatures w14:val="none"/>
        </w:rPr>
      </w:pPr>
    </w:p>
    <w:p w14:paraId="5C688387" w14:textId="45B337F9"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r w:rsidRPr="00785094">
        <w:rPr>
          <w:rFonts w:ascii="Arial" w:eastAsia="Times New Roman" w:hAnsi="Arial" w:cs="Arial"/>
          <w:kern w:val="0"/>
          <w:sz w:val="22"/>
          <w:szCs w:val="22"/>
          <w:lang w:eastAsia="en-GB"/>
          <w14:ligatures w14:val="none"/>
        </w:rPr>
        <w:t>If the relevant planning authority has concerns about the proposals, they may make an objection to the Secretary of State who must hold a public inquiry unless the objection is withdrawn or the Secretary of State grants consent subject to modifications or conditions that meet the objection of the relevant planning authority. Even if the relevant planning authority or other statutory bodies consulted do not object to the proposal, they may propose conditions to be attached to the planning permission for that development that meet the six tests for conditions as described in the National Planning Policy Framework which the Secretary of State may decide to incorporate in the consent if given.</w:t>
      </w:r>
    </w:p>
    <w:p w14:paraId="5150A5D0" w14:textId="77777777" w:rsidR="00F81210" w:rsidRPr="00785094" w:rsidRDefault="00F81210" w:rsidP="00785094">
      <w:pPr>
        <w:spacing w:after="0" w:line="276" w:lineRule="auto"/>
        <w:jc w:val="both"/>
        <w:rPr>
          <w:rFonts w:ascii="Arial" w:eastAsia="Times New Roman" w:hAnsi="Arial" w:cs="Arial"/>
          <w:kern w:val="0"/>
          <w:sz w:val="22"/>
          <w:szCs w:val="22"/>
          <w:lang w:eastAsia="en-GB"/>
          <w14:ligatures w14:val="none"/>
        </w:rPr>
      </w:pPr>
    </w:p>
    <w:p w14:paraId="16FE5AB4" w14:textId="77777777" w:rsidR="00F81210" w:rsidRPr="00785094" w:rsidRDefault="00F81210" w:rsidP="00785094">
      <w:pPr>
        <w:ind w:left="140"/>
        <w:jc w:val="both"/>
        <w:rPr>
          <w:rFonts w:ascii="Arial" w:hAnsi="Arial" w:cs="Arial"/>
          <w:b/>
          <w:sz w:val="22"/>
          <w:szCs w:val="22"/>
        </w:rPr>
      </w:pPr>
      <w:r w:rsidRPr="00785094">
        <w:rPr>
          <w:rFonts w:ascii="Arial" w:hAnsi="Arial" w:cs="Arial"/>
          <w:b/>
          <w:sz w:val="22"/>
          <w:szCs w:val="22"/>
        </w:rPr>
        <w:t>SITE</w:t>
      </w:r>
      <w:r w:rsidRPr="00785094">
        <w:rPr>
          <w:rFonts w:ascii="Arial" w:hAnsi="Arial" w:cs="Arial"/>
          <w:b/>
          <w:spacing w:val="-11"/>
          <w:sz w:val="22"/>
          <w:szCs w:val="22"/>
        </w:rPr>
        <w:t xml:space="preserve"> </w:t>
      </w:r>
      <w:r w:rsidRPr="00785094">
        <w:rPr>
          <w:rFonts w:ascii="Arial" w:hAnsi="Arial" w:cs="Arial"/>
          <w:b/>
          <w:spacing w:val="-2"/>
          <w:sz w:val="22"/>
          <w:szCs w:val="22"/>
        </w:rPr>
        <w:t>CONSTRAINTS</w:t>
      </w:r>
    </w:p>
    <w:p w14:paraId="36EA5C2B" w14:textId="77777777" w:rsidR="00F81210" w:rsidRPr="00785094" w:rsidRDefault="00F81210" w:rsidP="00785094">
      <w:pPr>
        <w:pStyle w:val="BodyText"/>
        <w:spacing w:before="4"/>
        <w:jc w:val="both"/>
        <w:rPr>
          <w:b/>
        </w:rPr>
      </w:pPr>
    </w:p>
    <w:p w14:paraId="57DEC0FA" w14:textId="77777777" w:rsidR="00F81210" w:rsidRPr="00785094" w:rsidRDefault="00F81210" w:rsidP="00785094">
      <w:pPr>
        <w:pStyle w:val="BodyText"/>
        <w:numPr>
          <w:ilvl w:val="0"/>
          <w:numId w:val="16"/>
        </w:numPr>
        <w:spacing w:before="4"/>
        <w:jc w:val="both"/>
        <w:rPr>
          <w:bCs/>
        </w:rPr>
      </w:pPr>
      <w:r w:rsidRPr="00785094">
        <w:rPr>
          <w:bCs/>
        </w:rPr>
        <w:t>Chilmark Quarries SAC</w:t>
      </w:r>
    </w:p>
    <w:p w14:paraId="179E0B1E" w14:textId="77777777" w:rsidR="00F81210" w:rsidRPr="00785094" w:rsidRDefault="00F81210" w:rsidP="00785094">
      <w:pPr>
        <w:pStyle w:val="BodyText"/>
        <w:numPr>
          <w:ilvl w:val="0"/>
          <w:numId w:val="16"/>
        </w:numPr>
        <w:spacing w:before="4"/>
        <w:jc w:val="both"/>
        <w:rPr>
          <w:bCs/>
        </w:rPr>
      </w:pPr>
      <w:r w:rsidRPr="00785094">
        <w:rPr>
          <w:bCs/>
        </w:rPr>
        <w:t>Hampshire River Avon Catchment</w:t>
      </w:r>
    </w:p>
    <w:p w14:paraId="251D3EA3" w14:textId="77777777" w:rsidR="00F81210" w:rsidRPr="00785094" w:rsidRDefault="00F81210" w:rsidP="00785094">
      <w:pPr>
        <w:pStyle w:val="BodyText"/>
        <w:numPr>
          <w:ilvl w:val="0"/>
          <w:numId w:val="16"/>
        </w:numPr>
        <w:spacing w:before="4"/>
        <w:jc w:val="both"/>
        <w:rPr>
          <w:bCs/>
        </w:rPr>
      </w:pPr>
      <w:r w:rsidRPr="00785094">
        <w:rPr>
          <w:bCs/>
        </w:rPr>
        <w:t>Fonthill II* Park and Garden</w:t>
      </w:r>
    </w:p>
    <w:p w14:paraId="6DF8CAA7" w14:textId="77777777" w:rsidR="00F81210" w:rsidRPr="00785094" w:rsidRDefault="00F81210" w:rsidP="00785094">
      <w:pPr>
        <w:pStyle w:val="BodyText"/>
        <w:numPr>
          <w:ilvl w:val="0"/>
          <w:numId w:val="16"/>
        </w:numPr>
        <w:spacing w:before="4"/>
        <w:jc w:val="both"/>
        <w:rPr>
          <w:bCs/>
        </w:rPr>
      </w:pPr>
      <w:r w:rsidRPr="00785094">
        <w:rPr>
          <w:bCs/>
        </w:rPr>
        <w:t>Salisbury Plain and West Wiltshire Downs Countryside Character Area</w:t>
      </w:r>
    </w:p>
    <w:p w14:paraId="7C8367E5" w14:textId="77777777" w:rsidR="00F81210" w:rsidRPr="00785094" w:rsidRDefault="00F81210" w:rsidP="00785094">
      <w:pPr>
        <w:pStyle w:val="BodyText"/>
        <w:numPr>
          <w:ilvl w:val="0"/>
          <w:numId w:val="16"/>
        </w:numPr>
        <w:spacing w:before="4"/>
        <w:jc w:val="both"/>
        <w:rPr>
          <w:bCs/>
        </w:rPr>
      </w:pPr>
      <w:r w:rsidRPr="00785094">
        <w:rPr>
          <w:bCs/>
        </w:rPr>
        <w:t>Grade 3 Agricultural Land</w:t>
      </w:r>
    </w:p>
    <w:p w14:paraId="5835A683" w14:textId="6DFCB4E8" w:rsidR="00F81210" w:rsidRPr="00785094" w:rsidRDefault="00F81210" w:rsidP="00785094">
      <w:pPr>
        <w:pStyle w:val="BodyText"/>
        <w:numPr>
          <w:ilvl w:val="0"/>
          <w:numId w:val="16"/>
        </w:numPr>
        <w:spacing w:before="4"/>
        <w:jc w:val="both"/>
        <w:rPr>
          <w:bCs/>
        </w:rPr>
      </w:pPr>
      <w:r w:rsidRPr="00785094">
        <w:rPr>
          <w:bCs/>
        </w:rPr>
        <w:t>Cranbourne Chase and West Wiltshire Downs National Landscape</w:t>
      </w:r>
    </w:p>
    <w:p w14:paraId="1D41E634" w14:textId="77777777" w:rsidR="00F81210" w:rsidRPr="00785094" w:rsidRDefault="00F81210" w:rsidP="00785094">
      <w:pPr>
        <w:pStyle w:val="BodyText"/>
        <w:jc w:val="both"/>
      </w:pPr>
    </w:p>
    <w:p w14:paraId="042920FA" w14:textId="77777777" w:rsidR="00F81210" w:rsidRPr="00785094" w:rsidRDefault="00F81210" w:rsidP="00785094">
      <w:pPr>
        <w:spacing w:before="142"/>
        <w:ind w:left="140"/>
        <w:jc w:val="both"/>
        <w:rPr>
          <w:rFonts w:ascii="Arial" w:hAnsi="Arial" w:cs="Arial"/>
          <w:b/>
          <w:spacing w:val="-2"/>
          <w:sz w:val="22"/>
          <w:szCs w:val="22"/>
        </w:rPr>
      </w:pPr>
      <w:r w:rsidRPr="00785094">
        <w:rPr>
          <w:rFonts w:ascii="Arial" w:hAnsi="Arial" w:cs="Arial"/>
          <w:b/>
          <w:sz w:val="22"/>
          <w:szCs w:val="22"/>
        </w:rPr>
        <w:t>Particulars</w:t>
      </w:r>
      <w:r w:rsidRPr="00785094">
        <w:rPr>
          <w:rFonts w:ascii="Arial" w:hAnsi="Arial" w:cs="Arial"/>
          <w:b/>
          <w:spacing w:val="-7"/>
          <w:sz w:val="22"/>
          <w:szCs w:val="22"/>
        </w:rPr>
        <w:t xml:space="preserve"> </w:t>
      </w:r>
      <w:r w:rsidRPr="00785094">
        <w:rPr>
          <w:rFonts w:ascii="Arial" w:hAnsi="Arial" w:cs="Arial"/>
          <w:b/>
          <w:sz w:val="22"/>
          <w:szCs w:val="22"/>
        </w:rPr>
        <w:t>of</w:t>
      </w:r>
      <w:r w:rsidRPr="00785094">
        <w:rPr>
          <w:rFonts w:ascii="Arial" w:hAnsi="Arial" w:cs="Arial"/>
          <w:b/>
          <w:spacing w:val="-5"/>
          <w:sz w:val="22"/>
          <w:szCs w:val="22"/>
        </w:rPr>
        <w:t xml:space="preserve"> </w:t>
      </w:r>
      <w:r w:rsidRPr="00785094">
        <w:rPr>
          <w:rFonts w:ascii="Arial" w:hAnsi="Arial" w:cs="Arial"/>
          <w:b/>
          <w:sz w:val="22"/>
          <w:szCs w:val="22"/>
        </w:rPr>
        <w:t>proposed</w:t>
      </w:r>
      <w:r w:rsidRPr="00785094">
        <w:rPr>
          <w:rFonts w:ascii="Arial" w:hAnsi="Arial" w:cs="Arial"/>
          <w:b/>
          <w:spacing w:val="-4"/>
          <w:sz w:val="22"/>
          <w:szCs w:val="22"/>
        </w:rPr>
        <w:t xml:space="preserve"> </w:t>
      </w:r>
      <w:r w:rsidRPr="00785094">
        <w:rPr>
          <w:rFonts w:ascii="Arial" w:hAnsi="Arial" w:cs="Arial"/>
          <w:b/>
          <w:sz w:val="22"/>
          <w:szCs w:val="22"/>
        </w:rPr>
        <w:t>development</w:t>
      </w:r>
      <w:r w:rsidRPr="00785094">
        <w:rPr>
          <w:rFonts w:ascii="Arial" w:hAnsi="Arial" w:cs="Arial"/>
          <w:b/>
          <w:spacing w:val="-5"/>
          <w:sz w:val="22"/>
          <w:szCs w:val="22"/>
        </w:rPr>
        <w:t xml:space="preserve"> </w:t>
      </w:r>
      <w:r w:rsidRPr="00785094">
        <w:rPr>
          <w:rFonts w:ascii="Arial" w:hAnsi="Arial" w:cs="Arial"/>
          <w:b/>
          <w:sz w:val="22"/>
          <w:szCs w:val="22"/>
        </w:rPr>
        <w:t>by</w:t>
      </w:r>
      <w:r w:rsidRPr="00785094">
        <w:rPr>
          <w:rFonts w:ascii="Arial" w:hAnsi="Arial" w:cs="Arial"/>
          <w:b/>
          <w:spacing w:val="-6"/>
          <w:sz w:val="22"/>
          <w:szCs w:val="22"/>
        </w:rPr>
        <w:t xml:space="preserve"> </w:t>
      </w:r>
      <w:r w:rsidRPr="00785094">
        <w:rPr>
          <w:rFonts w:ascii="Arial" w:hAnsi="Arial" w:cs="Arial"/>
          <w:b/>
          <w:spacing w:val="-2"/>
          <w:sz w:val="22"/>
          <w:szCs w:val="22"/>
        </w:rPr>
        <w:t>Applicant:</w:t>
      </w:r>
    </w:p>
    <w:p w14:paraId="51B0849D" w14:textId="0464274B" w:rsidR="00F81210" w:rsidRPr="00785094" w:rsidRDefault="00F81210" w:rsidP="00785094">
      <w:pPr>
        <w:spacing w:before="142"/>
        <w:ind w:left="140"/>
        <w:jc w:val="both"/>
        <w:rPr>
          <w:rFonts w:ascii="Arial" w:hAnsi="Arial" w:cs="Arial"/>
          <w:b/>
          <w:sz w:val="22"/>
          <w:szCs w:val="22"/>
        </w:rPr>
      </w:pPr>
      <w:r w:rsidRPr="00785094">
        <w:rPr>
          <w:rFonts w:ascii="Arial" w:hAnsi="Arial" w:cs="Arial"/>
          <w:b/>
          <w:spacing w:val="-2"/>
          <w:sz w:val="22"/>
          <w:szCs w:val="22"/>
        </w:rPr>
        <w:t xml:space="preserve">Address: </w:t>
      </w:r>
      <w:r w:rsidRPr="00785094">
        <w:rPr>
          <w:rFonts w:ascii="Arial" w:eastAsia="Times New Roman" w:hAnsi="Arial" w:cs="Arial"/>
          <w:kern w:val="0"/>
          <w:sz w:val="22"/>
          <w:szCs w:val="22"/>
          <w:lang w:eastAsia="en-GB"/>
          <w14:ligatures w14:val="none"/>
        </w:rPr>
        <w:t>Land South of B3089 &amp; Adjacent to Hindon Lane, Fonthill Gifford</w:t>
      </w:r>
    </w:p>
    <w:p w14:paraId="6DF6689C" w14:textId="2A9D4214" w:rsidR="00F81210" w:rsidRPr="00785094" w:rsidRDefault="00F81210" w:rsidP="00785094">
      <w:pPr>
        <w:pStyle w:val="BodyText"/>
        <w:spacing w:before="141" w:line="276" w:lineRule="auto"/>
        <w:ind w:left="140" w:right="378"/>
        <w:jc w:val="both"/>
      </w:pPr>
      <w:r w:rsidRPr="00785094">
        <w:t xml:space="preserve">This application is for the proposed replacement of 8 x existing electricity poles (shown on submitted plans).  This is required due to a supply request for Chicklade Services, Fonthill, and are needed to accommodate heavier conductors required for reinforcement of the overhead lines.  The poles will be placed adjacent to the existing poles and be of the same height.  The proposals are located on land south of the B3089 adjacent to </w:t>
      </w:r>
      <w:r w:rsidRPr="00785094">
        <w:lastRenderedPageBreak/>
        <w:t xml:space="preserve">Hindon Lane.  </w:t>
      </w:r>
    </w:p>
    <w:p w14:paraId="335893FD" w14:textId="77777777" w:rsidR="00F81210" w:rsidRPr="00785094" w:rsidRDefault="00F81210" w:rsidP="00785094">
      <w:pPr>
        <w:pStyle w:val="BodyText"/>
        <w:spacing w:before="4"/>
        <w:ind w:left="720"/>
        <w:jc w:val="both"/>
        <w:rPr>
          <w:b/>
        </w:rPr>
      </w:pPr>
    </w:p>
    <w:p w14:paraId="68322F2B" w14:textId="77777777" w:rsidR="00F81210" w:rsidRPr="00785094" w:rsidRDefault="00F81210" w:rsidP="00785094">
      <w:pPr>
        <w:pStyle w:val="ListParagraph"/>
        <w:widowControl w:val="0"/>
        <w:numPr>
          <w:ilvl w:val="1"/>
          <w:numId w:val="14"/>
        </w:numPr>
        <w:tabs>
          <w:tab w:val="left" w:pos="391"/>
        </w:tabs>
        <w:autoSpaceDE w:val="0"/>
        <w:autoSpaceDN w:val="0"/>
        <w:spacing w:after="0" w:line="237" w:lineRule="auto"/>
        <w:ind w:right="252" w:firstLine="0"/>
        <w:contextualSpacing w:val="0"/>
        <w:jc w:val="both"/>
        <w:rPr>
          <w:rFonts w:ascii="Arial" w:hAnsi="Arial" w:cs="Arial"/>
          <w:sz w:val="22"/>
          <w:szCs w:val="22"/>
        </w:rPr>
      </w:pPr>
      <w:r w:rsidRPr="00785094">
        <w:rPr>
          <w:rFonts w:ascii="Arial" w:hAnsi="Arial" w:cs="Arial"/>
          <w:sz w:val="22"/>
          <w:szCs w:val="22"/>
        </w:rPr>
        <w:t>Names</w:t>
      </w:r>
      <w:r w:rsidRPr="00785094">
        <w:rPr>
          <w:rFonts w:ascii="Arial" w:hAnsi="Arial" w:cs="Arial"/>
          <w:spacing w:val="-8"/>
          <w:sz w:val="22"/>
          <w:szCs w:val="22"/>
        </w:rPr>
        <w:t xml:space="preserve"> </w:t>
      </w:r>
      <w:r w:rsidRPr="00785094">
        <w:rPr>
          <w:rFonts w:ascii="Arial" w:hAnsi="Arial" w:cs="Arial"/>
          <w:sz w:val="22"/>
          <w:szCs w:val="22"/>
        </w:rPr>
        <w:t>of</w:t>
      </w:r>
      <w:r w:rsidRPr="00785094">
        <w:rPr>
          <w:rFonts w:ascii="Arial" w:hAnsi="Arial" w:cs="Arial"/>
          <w:spacing w:val="-3"/>
          <w:sz w:val="22"/>
          <w:szCs w:val="22"/>
        </w:rPr>
        <w:t xml:space="preserve"> </w:t>
      </w:r>
      <w:r w:rsidRPr="00785094">
        <w:rPr>
          <w:rFonts w:ascii="Arial" w:hAnsi="Arial" w:cs="Arial"/>
          <w:sz w:val="22"/>
          <w:szCs w:val="22"/>
        </w:rPr>
        <w:t>interested</w:t>
      </w:r>
      <w:r w:rsidRPr="00785094">
        <w:rPr>
          <w:rFonts w:ascii="Arial" w:hAnsi="Arial" w:cs="Arial"/>
          <w:spacing w:val="-6"/>
          <w:sz w:val="22"/>
          <w:szCs w:val="22"/>
        </w:rPr>
        <w:t xml:space="preserve"> </w:t>
      </w:r>
      <w:r w:rsidRPr="00785094">
        <w:rPr>
          <w:rFonts w:ascii="Arial" w:hAnsi="Arial" w:cs="Arial"/>
          <w:sz w:val="22"/>
          <w:szCs w:val="22"/>
        </w:rPr>
        <w:t>parties</w:t>
      </w:r>
      <w:r w:rsidRPr="00785094">
        <w:rPr>
          <w:rFonts w:ascii="Arial" w:hAnsi="Arial" w:cs="Arial"/>
          <w:spacing w:val="-2"/>
          <w:sz w:val="22"/>
          <w:szCs w:val="22"/>
        </w:rPr>
        <w:t xml:space="preserve"> </w:t>
      </w:r>
      <w:r w:rsidRPr="00785094">
        <w:rPr>
          <w:rFonts w:ascii="Arial" w:hAnsi="Arial" w:cs="Arial"/>
          <w:sz w:val="22"/>
          <w:szCs w:val="22"/>
        </w:rPr>
        <w:t>consulted</w:t>
      </w:r>
      <w:r w:rsidRPr="00785094">
        <w:rPr>
          <w:rFonts w:ascii="Arial" w:hAnsi="Arial" w:cs="Arial"/>
          <w:spacing w:val="-6"/>
          <w:sz w:val="22"/>
          <w:szCs w:val="22"/>
        </w:rPr>
        <w:t xml:space="preserve"> </w:t>
      </w:r>
      <w:r w:rsidRPr="00785094">
        <w:rPr>
          <w:rFonts w:ascii="Arial" w:hAnsi="Arial" w:cs="Arial"/>
          <w:sz w:val="22"/>
          <w:szCs w:val="22"/>
        </w:rPr>
        <w:t>as</w:t>
      </w:r>
      <w:r w:rsidRPr="00785094">
        <w:rPr>
          <w:rFonts w:ascii="Arial" w:hAnsi="Arial" w:cs="Arial"/>
          <w:spacing w:val="-3"/>
          <w:sz w:val="22"/>
          <w:szCs w:val="22"/>
        </w:rPr>
        <w:t xml:space="preserve"> </w:t>
      </w:r>
      <w:r w:rsidRPr="00785094">
        <w:rPr>
          <w:rFonts w:ascii="Arial" w:hAnsi="Arial" w:cs="Arial"/>
          <w:sz w:val="22"/>
          <w:szCs w:val="22"/>
        </w:rPr>
        <w:t>to</w:t>
      </w:r>
      <w:r w:rsidRPr="00785094">
        <w:rPr>
          <w:rFonts w:ascii="Arial" w:hAnsi="Arial" w:cs="Arial"/>
          <w:spacing w:val="-4"/>
          <w:sz w:val="22"/>
          <w:szCs w:val="22"/>
        </w:rPr>
        <w:t xml:space="preserve"> </w:t>
      </w:r>
      <w:r w:rsidRPr="00785094">
        <w:rPr>
          <w:rFonts w:ascii="Arial" w:hAnsi="Arial" w:cs="Arial"/>
          <w:sz w:val="22"/>
          <w:szCs w:val="22"/>
        </w:rPr>
        <w:t>the</w:t>
      </w:r>
      <w:r w:rsidRPr="00785094">
        <w:rPr>
          <w:rFonts w:ascii="Arial" w:hAnsi="Arial" w:cs="Arial"/>
          <w:spacing w:val="-13"/>
          <w:sz w:val="22"/>
          <w:szCs w:val="22"/>
        </w:rPr>
        <w:t xml:space="preserve"> </w:t>
      </w:r>
      <w:r w:rsidRPr="00785094">
        <w:rPr>
          <w:rFonts w:ascii="Arial" w:hAnsi="Arial" w:cs="Arial"/>
          <w:sz w:val="22"/>
          <w:szCs w:val="22"/>
        </w:rPr>
        <w:t>proposals</w:t>
      </w:r>
      <w:r w:rsidRPr="00785094">
        <w:rPr>
          <w:rFonts w:ascii="Arial" w:hAnsi="Arial" w:cs="Arial"/>
          <w:spacing w:val="-8"/>
          <w:sz w:val="22"/>
          <w:szCs w:val="22"/>
        </w:rPr>
        <w:t xml:space="preserve"> </w:t>
      </w:r>
      <w:r w:rsidRPr="00785094">
        <w:rPr>
          <w:rFonts w:ascii="Arial" w:hAnsi="Arial" w:cs="Arial"/>
          <w:sz w:val="22"/>
          <w:szCs w:val="22"/>
        </w:rPr>
        <w:t>with</w:t>
      </w:r>
      <w:r w:rsidRPr="00785094">
        <w:rPr>
          <w:rFonts w:ascii="Arial" w:hAnsi="Arial" w:cs="Arial"/>
          <w:spacing w:val="-6"/>
          <w:sz w:val="22"/>
          <w:szCs w:val="22"/>
        </w:rPr>
        <w:t xml:space="preserve"> </w:t>
      </w:r>
      <w:r w:rsidRPr="00785094">
        <w:rPr>
          <w:rFonts w:ascii="Arial" w:hAnsi="Arial" w:cs="Arial"/>
          <w:sz w:val="22"/>
          <w:szCs w:val="22"/>
        </w:rPr>
        <w:t>details</w:t>
      </w:r>
      <w:r w:rsidRPr="00785094">
        <w:rPr>
          <w:rFonts w:ascii="Arial" w:hAnsi="Arial" w:cs="Arial"/>
          <w:spacing w:val="-8"/>
          <w:sz w:val="22"/>
          <w:szCs w:val="22"/>
        </w:rPr>
        <w:t xml:space="preserve"> </w:t>
      </w:r>
      <w:r w:rsidRPr="00785094">
        <w:rPr>
          <w:rFonts w:ascii="Arial" w:hAnsi="Arial" w:cs="Arial"/>
          <w:sz w:val="22"/>
          <w:szCs w:val="22"/>
        </w:rPr>
        <w:t>of</w:t>
      </w:r>
      <w:r w:rsidRPr="00785094">
        <w:rPr>
          <w:rFonts w:ascii="Arial" w:hAnsi="Arial" w:cs="Arial"/>
          <w:spacing w:val="-5"/>
          <w:sz w:val="22"/>
          <w:szCs w:val="22"/>
        </w:rPr>
        <w:t xml:space="preserve"> </w:t>
      </w:r>
      <w:r w:rsidRPr="00785094">
        <w:rPr>
          <w:rFonts w:ascii="Arial" w:hAnsi="Arial" w:cs="Arial"/>
          <w:sz w:val="22"/>
          <w:szCs w:val="22"/>
        </w:rPr>
        <w:t>any</w:t>
      </w:r>
      <w:r w:rsidRPr="00785094">
        <w:rPr>
          <w:rFonts w:ascii="Arial" w:hAnsi="Arial" w:cs="Arial"/>
          <w:spacing w:val="-8"/>
          <w:sz w:val="22"/>
          <w:szCs w:val="22"/>
        </w:rPr>
        <w:t xml:space="preserve"> </w:t>
      </w:r>
      <w:r w:rsidRPr="00785094">
        <w:rPr>
          <w:rFonts w:ascii="Arial" w:hAnsi="Arial" w:cs="Arial"/>
          <w:sz w:val="22"/>
          <w:szCs w:val="22"/>
        </w:rPr>
        <w:t xml:space="preserve">observations </w:t>
      </w:r>
      <w:r w:rsidRPr="00785094">
        <w:rPr>
          <w:rFonts w:ascii="Arial" w:hAnsi="Arial" w:cs="Arial"/>
          <w:spacing w:val="-2"/>
          <w:sz w:val="22"/>
          <w:szCs w:val="22"/>
        </w:rPr>
        <w:t>received.</w:t>
      </w:r>
    </w:p>
    <w:p w14:paraId="684871CA" w14:textId="77777777" w:rsidR="00F81210" w:rsidRPr="00785094" w:rsidRDefault="00F81210" w:rsidP="00785094">
      <w:pPr>
        <w:pStyle w:val="BodyText"/>
        <w:spacing w:before="3"/>
        <w:jc w:val="both"/>
        <w:rPr>
          <w:color w:val="000000" w:themeColor="text1"/>
        </w:rPr>
      </w:pPr>
    </w:p>
    <w:p w14:paraId="3E42452C" w14:textId="77777777" w:rsidR="00F81210" w:rsidRPr="00785094" w:rsidRDefault="00F81210" w:rsidP="00785094">
      <w:pPr>
        <w:pStyle w:val="BodyText"/>
        <w:numPr>
          <w:ilvl w:val="0"/>
          <w:numId w:val="15"/>
        </w:numPr>
        <w:ind w:right="3461"/>
        <w:jc w:val="both"/>
        <w:rPr>
          <w:color w:val="000000" w:themeColor="text1"/>
        </w:rPr>
      </w:pPr>
      <w:r w:rsidRPr="00785094">
        <w:rPr>
          <w:color w:val="000000" w:themeColor="text1"/>
        </w:rPr>
        <w:t>Fonthill Gifford Parish Council – no comments received</w:t>
      </w:r>
    </w:p>
    <w:p w14:paraId="0F648D51" w14:textId="77777777" w:rsidR="00F81210" w:rsidRPr="00785094" w:rsidRDefault="00F81210" w:rsidP="00785094">
      <w:pPr>
        <w:pStyle w:val="BodyText"/>
        <w:numPr>
          <w:ilvl w:val="0"/>
          <w:numId w:val="15"/>
        </w:numPr>
        <w:ind w:right="3461"/>
        <w:jc w:val="both"/>
        <w:rPr>
          <w:color w:val="000000" w:themeColor="text1"/>
        </w:rPr>
      </w:pPr>
      <w:r w:rsidRPr="00785094">
        <w:rPr>
          <w:color w:val="000000" w:themeColor="text1"/>
        </w:rPr>
        <w:t>Tisbury Parish Council – support this application</w:t>
      </w:r>
    </w:p>
    <w:p w14:paraId="1F8E1839" w14:textId="77777777" w:rsidR="00F81210" w:rsidRPr="00785094" w:rsidRDefault="00F81210" w:rsidP="00785094">
      <w:pPr>
        <w:pStyle w:val="BodyText"/>
        <w:jc w:val="both"/>
        <w:rPr>
          <w:color w:val="000000" w:themeColor="text1"/>
        </w:rPr>
      </w:pPr>
    </w:p>
    <w:p w14:paraId="2943F43D" w14:textId="77777777" w:rsidR="00F81210" w:rsidRPr="00785094" w:rsidRDefault="00F81210" w:rsidP="00785094">
      <w:pPr>
        <w:pStyle w:val="ListParagraph"/>
        <w:widowControl w:val="0"/>
        <w:numPr>
          <w:ilvl w:val="1"/>
          <w:numId w:val="14"/>
        </w:numPr>
        <w:tabs>
          <w:tab w:val="left" w:pos="391"/>
        </w:tabs>
        <w:autoSpaceDE w:val="0"/>
        <w:autoSpaceDN w:val="0"/>
        <w:spacing w:after="0" w:line="240" w:lineRule="auto"/>
        <w:ind w:right="1038"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Particulars</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of</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any</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representations</w:t>
      </w:r>
      <w:r w:rsidRPr="00785094">
        <w:rPr>
          <w:rFonts w:ascii="Arial" w:hAnsi="Arial" w:cs="Arial"/>
          <w:color w:val="000000" w:themeColor="text1"/>
          <w:spacing w:val="-11"/>
          <w:sz w:val="22"/>
          <w:szCs w:val="22"/>
        </w:rPr>
        <w:t xml:space="preserve"> </w:t>
      </w:r>
      <w:r w:rsidRPr="00785094">
        <w:rPr>
          <w:rFonts w:ascii="Arial" w:hAnsi="Arial" w:cs="Arial"/>
          <w:color w:val="000000" w:themeColor="text1"/>
          <w:sz w:val="22"/>
          <w:szCs w:val="22"/>
        </w:rPr>
        <w:t>which</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have</w:t>
      </w:r>
      <w:r w:rsidRPr="00785094">
        <w:rPr>
          <w:rFonts w:ascii="Arial" w:hAnsi="Arial" w:cs="Arial"/>
          <w:color w:val="000000" w:themeColor="text1"/>
          <w:spacing w:val="-8"/>
          <w:sz w:val="22"/>
          <w:szCs w:val="22"/>
        </w:rPr>
        <w:t xml:space="preserve"> </w:t>
      </w:r>
      <w:r w:rsidRPr="00785094">
        <w:rPr>
          <w:rFonts w:ascii="Arial" w:hAnsi="Arial" w:cs="Arial"/>
          <w:color w:val="000000" w:themeColor="text1"/>
          <w:sz w:val="22"/>
          <w:szCs w:val="22"/>
        </w:rPr>
        <w:t>been</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made</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to</w:t>
      </w:r>
      <w:r w:rsidRPr="00785094">
        <w:rPr>
          <w:rFonts w:ascii="Arial" w:hAnsi="Arial" w:cs="Arial"/>
          <w:color w:val="000000" w:themeColor="text1"/>
          <w:spacing w:val="-11"/>
          <w:sz w:val="22"/>
          <w:szCs w:val="22"/>
        </w:rPr>
        <w:t xml:space="preserve"> </w:t>
      </w:r>
      <w:r w:rsidRPr="00785094">
        <w:rPr>
          <w:rFonts w:ascii="Arial" w:hAnsi="Arial" w:cs="Arial"/>
          <w:color w:val="000000" w:themeColor="text1"/>
          <w:sz w:val="22"/>
          <w:szCs w:val="22"/>
        </w:rPr>
        <w:t>the</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relevant</w:t>
      </w:r>
      <w:r w:rsidRPr="00785094">
        <w:rPr>
          <w:rFonts w:ascii="Arial" w:hAnsi="Arial" w:cs="Arial"/>
          <w:color w:val="000000" w:themeColor="text1"/>
          <w:spacing w:val="-12"/>
          <w:sz w:val="22"/>
          <w:szCs w:val="22"/>
        </w:rPr>
        <w:t xml:space="preserve"> </w:t>
      </w:r>
      <w:r w:rsidRPr="00785094">
        <w:rPr>
          <w:rFonts w:ascii="Arial" w:hAnsi="Arial" w:cs="Arial"/>
          <w:color w:val="000000" w:themeColor="text1"/>
          <w:sz w:val="22"/>
          <w:szCs w:val="22"/>
        </w:rPr>
        <w:t>planning authority objecting to the proposals.</w:t>
      </w:r>
    </w:p>
    <w:p w14:paraId="4DDBC99E" w14:textId="77777777" w:rsidR="00F81210" w:rsidRPr="00785094" w:rsidRDefault="00F81210" w:rsidP="00785094">
      <w:pPr>
        <w:pStyle w:val="BodyText"/>
        <w:spacing w:before="1"/>
        <w:ind w:firstLine="140"/>
        <w:jc w:val="both"/>
        <w:rPr>
          <w:b/>
          <w:bCs/>
          <w:color w:val="000000" w:themeColor="text1"/>
          <w:spacing w:val="-4"/>
        </w:rPr>
      </w:pPr>
      <w:r w:rsidRPr="00785094">
        <w:rPr>
          <w:b/>
          <w:bCs/>
          <w:color w:val="000000" w:themeColor="text1"/>
          <w:spacing w:val="-4"/>
        </w:rPr>
        <w:t>None received</w:t>
      </w:r>
    </w:p>
    <w:p w14:paraId="03D29D40" w14:textId="77777777" w:rsidR="00F81210" w:rsidRPr="00785094" w:rsidRDefault="00F81210" w:rsidP="00785094">
      <w:pPr>
        <w:pStyle w:val="BodyText"/>
        <w:spacing w:before="1"/>
        <w:ind w:left="140"/>
        <w:jc w:val="both"/>
        <w:rPr>
          <w:color w:val="000000" w:themeColor="text1"/>
          <w:spacing w:val="-4"/>
        </w:rPr>
      </w:pPr>
    </w:p>
    <w:p w14:paraId="41E7547A" w14:textId="77777777" w:rsidR="00F81210" w:rsidRPr="00785094" w:rsidRDefault="00F81210" w:rsidP="00785094">
      <w:pPr>
        <w:pStyle w:val="ListParagraph"/>
        <w:widowControl w:val="0"/>
        <w:numPr>
          <w:ilvl w:val="1"/>
          <w:numId w:val="14"/>
        </w:numPr>
        <w:tabs>
          <w:tab w:val="left" w:pos="391"/>
        </w:tabs>
        <w:autoSpaceDE w:val="0"/>
        <w:autoSpaceDN w:val="0"/>
        <w:spacing w:before="78" w:after="0" w:line="237" w:lineRule="auto"/>
        <w:ind w:right="397"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Have</w:t>
      </w:r>
      <w:r w:rsidRPr="00785094">
        <w:rPr>
          <w:rFonts w:ascii="Arial" w:hAnsi="Arial" w:cs="Arial"/>
          <w:color w:val="000000" w:themeColor="text1"/>
          <w:spacing w:val="-8"/>
          <w:sz w:val="22"/>
          <w:szCs w:val="22"/>
        </w:rPr>
        <w:t xml:space="preserve"> </w:t>
      </w:r>
      <w:r w:rsidRPr="00785094">
        <w:rPr>
          <w:rFonts w:ascii="Arial" w:hAnsi="Arial" w:cs="Arial"/>
          <w:color w:val="000000" w:themeColor="text1"/>
          <w:sz w:val="22"/>
          <w:szCs w:val="22"/>
        </w:rPr>
        <w:t>any</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general</w:t>
      </w:r>
      <w:r w:rsidRPr="00785094">
        <w:rPr>
          <w:rFonts w:ascii="Arial" w:hAnsi="Arial" w:cs="Arial"/>
          <w:color w:val="000000" w:themeColor="text1"/>
          <w:spacing w:val="-10"/>
          <w:sz w:val="22"/>
          <w:szCs w:val="22"/>
        </w:rPr>
        <w:t xml:space="preserve"> </w:t>
      </w:r>
      <w:r w:rsidRPr="00785094">
        <w:rPr>
          <w:rFonts w:ascii="Arial" w:hAnsi="Arial" w:cs="Arial"/>
          <w:color w:val="000000" w:themeColor="text1"/>
          <w:sz w:val="22"/>
          <w:szCs w:val="22"/>
        </w:rPr>
        <w:t>or</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specific</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restrictions</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been</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imposed</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by</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any</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authority</w:t>
      </w:r>
      <w:r w:rsidRPr="00785094">
        <w:rPr>
          <w:rFonts w:ascii="Arial" w:hAnsi="Arial" w:cs="Arial"/>
          <w:color w:val="000000" w:themeColor="text1"/>
          <w:spacing w:val="-8"/>
          <w:sz w:val="22"/>
          <w:szCs w:val="22"/>
        </w:rPr>
        <w:t xml:space="preserve"> </w:t>
      </w:r>
      <w:r w:rsidRPr="00785094">
        <w:rPr>
          <w:rFonts w:ascii="Arial" w:hAnsi="Arial" w:cs="Arial"/>
          <w:color w:val="000000" w:themeColor="text1"/>
          <w:sz w:val="22"/>
          <w:szCs w:val="22"/>
        </w:rPr>
        <w:t>on</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development of the land affected by the proposed development?</w:t>
      </w:r>
    </w:p>
    <w:p w14:paraId="62A096F2" w14:textId="77777777" w:rsidR="00F81210" w:rsidRPr="00785094" w:rsidRDefault="00F81210" w:rsidP="00785094">
      <w:pPr>
        <w:pStyle w:val="BodyText"/>
        <w:ind w:firstLine="140"/>
        <w:jc w:val="both"/>
        <w:rPr>
          <w:b/>
          <w:bCs/>
          <w:color w:val="000000" w:themeColor="text1"/>
          <w:spacing w:val="-5"/>
        </w:rPr>
      </w:pPr>
      <w:r w:rsidRPr="00785094">
        <w:rPr>
          <w:b/>
          <w:bCs/>
          <w:color w:val="000000" w:themeColor="text1"/>
          <w:spacing w:val="-5"/>
        </w:rPr>
        <w:t>No</w:t>
      </w:r>
    </w:p>
    <w:p w14:paraId="45CBBED2" w14:textId="77777777" w:rsidR="00F81210" w:rsidRPr="00785094" w:rsidRDefault="00F81210" w:rsidP="00785094">
      <w:pPr>
        <w:pStyle w:val="BodyText"/>
        <w:ind w:left="140"/>
        <w:jc w:val="both"/>
        <w:rPr>
          <w:color w:val="000000" w:themeColor="text1"/>
        </w:rPr>
      </w:pPr>
    </w:p>
    <w:p w14:paraId="34645043" w14:textId="77777777" w:rsidR="00F81210" w:rsidRPr="00785094" w:rsidRDefault="00F81210" w:rsidP="00785094">
      <w:pPr>
        <w:pStyle w:val="ListParagraph"/>
        <w:widowControl w:val="0"/>
        <w:numPr>
          <w:ilvl w:val="1"/>
          <w:numId w:val="14"/>
        </w:numPr>
        <w:tabs>
          <w:tab w:val="left" w:pos="391"/>
        </w:tabs>
        <w:autoSpaceDE w:val="0"/>
        <w:autoSpaceDN w:val="0"/>
        <w:spacing w:after="0" w:line="240" w:lineRule="auto"/>
        <w:ind w:right="623"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Does the proposed development involve the demolition, alteration or extension of a building</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of</w:t>
      </w:r>
      <w:r w:rsidRPr="00785094">
        <w:rPr>
          <w:rFonts w:ascii="Arial" w:hAnsi="Arial" w:cs="Arial"/>
          <w:color w:val="000000" w:themeColor="text1"/>
          <w:spacing w:val="-1"/>
          <w:sz w:val="22"/>
          <w:szCs w:val="22"/>
        </w:rPr>
        <w:t xml:space="preserve"> </w:t>
      </w:r>
      <w:r w:rsidRPr="00785094">
        <w:rPr>
          <w:rFonts w:ascii="Arial" w:hAnsi="Arial" w:cs="Arial"/>
          <w:color w:val="000000" w:themeColor="text1"/>
          <w:sz w:val="22"/>
          <w:szCs w:val="22"/>
        </w:rPr>
        <w:t>special</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architectural</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or</w:t>
      </w:r>
      <w:r w:rsidRPr="00785094">
        <w:rPr>
          <w:rFonts w:ascii="Arial" w:hAnsi="Arial" w:cs="Arial"/>
          <w:color w:val="000000" w:themeColor="text1"/>
          <w:spacing w:val="-10"/>
          <w:sz w:val="22"/>
          <w:szCs w:val="22"/>
        </w:rPr>
        <w:t xml:space="preserve"> </w:t>
      </w:r>
      <w:r w:rsidRPr="00785094">
        <w:rPr>
          <w:rFonts w:ascii="Arial" w:hAnsi="Arial" w:cs="Arial"/>
          <w:color w:val="000000" w:themeColor="text1"/>
          <w:sz w:val="22"/>
          <w:szCs w:val="22"/>
        </w:rPr>
        <w:t>historic</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interest</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included</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in</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list</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compiled</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or</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approved under section 1 of the Planning (Listed Buildings and Conservation Areas) Act 1990?</w:t>
      </w:r>
    </w:p>
    <w:p w14:paraId="0767E93E" w14:textId="77777777" w:rsidR="00F81210" w:rsidRPr="00785094" w:rsidRDefault="00F81210" w:rsidP="00785094">
      <w:pPr>
        <w:pStyle w:val="BodyText"/>
        <w:ind w:left="140"/>
        <w:jc w:val="both"/>
        <w:rPr>
          <w:b/>
          <w:bCs/>
          <w:color w:val="000000" w:themeColor="text1"/>
        </w:rPr>
      </w:pPr>
      <w:r w:rsidRPr="00785094">
        <w:rPr>
          <w:b/>
          <w:bCs/>
          <w:color w:val="000000" w:themeColor="text1"/>
          <w:spacing w:val="-5"/>
        </w:rPr>
        <w:t>No</w:t>
      </w:r>
    </w:p>
    <w:p w14:paraId="386BAD44" w14:textId="77777777" w:rsidR="00F81210" w:rsidRPr="00785094" w:rsidRDefault="00F81210" w:rsidP="00785094">
      <w:pPr>
        <w:pStyle w:val="BodyText"/>
        <w:spacing w:before="9"/>
        <w:jc w:val="both"/>
        <w:rPr>
          <w:color w:val="000000" w:themeColor="text1"/>
        </w:rPr>
      </w:pPr>
    </w:p>
    <w:p w14:paraId="15E2D6F5" w14:textId="77777777" w:rsidR="00F81210" w:rsidRPr="00785094" w:rsidRDefault="00F81210" w:rsidP="00785094">
      <w:pPr>
        <w:pStyle w:val="ListParagraph"/>
        <w:widowControl w:val="0"/>
        <w:numPr>
          <w:ilvl w:val="1"/>
          <w:numId w:val="14"/>
        </w:numPr>
        <w:tabs>
          <w:tab w:val="left" w:pos="391"/>
        </w:tabs>
        <w:autoSpaceDE w:val="0"/>
        <w:autoSpaceDN w:val="0"/>
        <w:spacing w:before="1" w:after="0" w:line="240" w:lineRule="auto"/>
        <w:ind w:right="635"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Does the relevant planning authority agree that the proposed development should be approved</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by</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the</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Secretary</w:t>
      </w:r>
      <w:r w:rsidRPr="00785094">
        <w:rPr>
          <w:rFonts w:ascii="Arial" w:hAnsi="Arial" w:cs="Arial"/>
          <w:color w:val="000000" w:themeColor="text1"/>
          <w:spacing w:val="-2"/>
          <w:sz w:val="22"/>
          <w:szCs w:val="22"/>
        </w:rPr>
        <w:t xml:space="preserve"> </w:t>
      </w:r>
      <w:r w:rsidRPr="00785094">
        <w:rPr>
          <w:rFonts w:ascii="Arial" w:hAnsi="Arial" w:cs="Arial"/>
          <w:color w:val="000000" w:themeColor="text1"/>
          <w:sz w:val="22"/>
          <w:szCs w:val="22"/>
        </w:rPr>
        <w:t>of</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State</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for</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Energy</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and</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Climate</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Change</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as</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described?</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(If</w:t>
      </w:r>
      <w:r w:rsidRPr="00785094">
        <w:rPr>
          <w:rFonts w:ascii="Arial" w:hAnsi="Arial" w:cs="Arial"/>
          <w:color w:val="000000" w:themeColor="text1"/>
          <w:spacing w:val="-10"/>
          <w:sz w:val="22"/>
          <w:szCs w:val="22"/>
        </w:rPr>
        <w:t xml:space="preserve"> </w:t>
      </w:r>
      <w:r w:rsidRPr="00785094">
        <w:rPr>
          <w:rFonts w:ascii="Arial" w:hAnsi="Arial" w:cs="Arial"/>
          <w:color w:val="000000" w:themeColor="text1"/>
          <w:sz w:val="22"/>
          <w:szCs w:val="22"/>
        </w:rPr>
        <w:t>the answer is no, please answer question 6.)</w:t>
      </w:r>
    </w:p>
    <w:p w14:paraId="3A5D32E5" w14:textId="77777777" w:rsidR="00F81210" w:rsidRPr="00785094" w:rsidRDefault="00F81210" w:rsidP="00785094">
      <w:pPr>
        <w:pStyle w:val="BodyText"/>
        <w:ind w:left="140"/>
        <w:jc w:val="both"/>
        <w:rPr>
          <w:b/>
          <w:bCs/>
          <w:color w:val="000000" w:themeColor="text1"/>
        </w:rPr>
      </w:pPr>
      <w:r w:rsidRPr="00785094">
        <w:rPr>
          <w:b/>
          <w:bCs/>
          <w:color w:val="000000" w:themeColor="text1"/>
          <w:spacing w:val="-5"/>
        </w:rPr>
        <w:t>Yes</w:t>
      </w:r>
    </w:p>
    <w:p w14:paraId="24765662" w14:textId="77777777" w:rsidR="00F81210" w:rsidRPr="00785094" w:rsidRDefault="00F81210" w:rsidP="00785094">
      <w:pPr>
        <w:pStyle w:val="BodyText"/>
        <w:spacing w:before="3"/>
        <w:jc w:val="both"/>
        <w:rPr>
          <w:color w:val="000000" w:themeColor="text1"/>
        </w:rPr>
      </w:pPr>
    </w:p>
    <w:p w14:paraId="6ADCA33F" w14:textId="77777777" w:rsidR="00F81210" w:rsidRPr="00785094" w:rsidRDefault="00F81210" w:rsidP="00785094">
      <w:pPr>
        <w:pStyle w:val="ListParagraph"/>
        <w:widowControl w:val="0"/>
        <w:numPr>
          <w:ilvl w:val="1"/>
          <w:numId w:val="14"/>
        </w:numPr>
        <w:tabs>
          <w:tab w:val="left" w:pos="391"/>
        </w:tabs>
        <w:autoSpaceDE w:val="0"/>
        <w:autoSpaceDN w:val="0"/>
        <w:spacing w:after="0" w:line="240" w:lineRule="auto"/>
        <w:ind w:right="479"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Would the relevant planning authority be prepared to agree that the proposed development</w:t>
      </w:r>
      <w:r w:rsidRPr="00785094">
        <w:rPr>
          <w:rFonts w:ascii="Arial" w:hAnsi="Arial" w:cs="Arial"/>
          <w:color w:val="000000" w:themeColor="text1"/>
          <w:spacing w:val="-3"/>
          <w:sz w:val="22"/>
          <w:szCs w:val="22"/>
        </w:rPr>
        <w:t xml:space="preserve"> </w:t>
      </w:r>
      <w:r w:rsidRPr="00785094">
        <w:rPr>
          <w:rFonts w:ascii="Arial" w:hAnsi="Arial" w:cs="Arial"/>
          <w:color w:val="000000" w:themeColor="text1"/>
          <w:sz w:val="22"/>
          <w:szCs w:val="22"/>
        </w:rPr>
        <w:t>should</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be</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approved</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subject</w:t>
      </w:r>
      <w:r w:rsidRPr="00785094">
        <w:rPr>
          <w:rFonts w:ascii="Arial" w:hAnsi="Arial" w:cs="Arial"/>
          <w:color w:val="000000" w:themeColor="text1"/>
          <w:spacing w:val="-10"/>
          <w:sz w:val="22"/>
          <w:szCs w:val="22"/>
        </w:rPr>
        <w:t xml:space="preserve"> </w:t>
      </w:r>
      <w:r w:rsidRPr="00785094">
        <w:rPr>
          <w:rFonts w:ascii="Arial" w:hAnsi="Arial" w:cs="Arial"/>
          <w:color w:val="000000" w:themeColor="text1"/>
          <w:sz w:val="22"/>
          <w:szCs w:val="22"/>
        </w:rPr>
        <w:t>to</w:t>
      </w:r>
      <w:r w:rsidRPr="00785094">
        <w:rPr>
          <w:rFonts w:ascii="Arial" w:hAnsi="Arial" w:cs="Arial"/>
          <w:color w:val="000000" w:themeColor="text1"/>
          <w:spacing w:val="-12"/>
          <w:sz w:val="22"/>
          <w:szCs w:val="22"/>
        </w:rPr>
        <w:t xml:space="preserve"> </w:t>
      </w:r>
      <w:r w:rsidRPr="00785094">
        <w:rPr>
          <w:rFonts w:ascii="Arial" w:hAnsi="Arial" w:cs="Arial"/>
          <w:color w:val="000000" w:themeColor="text1"/>
          <w:sz w:val="22"/>
          <w:szCs w:val="22"/>
        </w:rPr>
        <w:t>modifications</w:t>
      </w:r>
      <w:r w:rsidRPr="00785094">
        <w:rPr>
          <w:rFonts w:ascii="Arial" w:hAnsi="Arial" w:cs="Arial"/>
          <w:color w:val="000000" w:themeColor="text1"/>
          <w:spacing w:val="-8"/>
          <w:sz w:val="22"/>
          <w:szCs w:val="22"/>
        </w:rPr>
        <w:t xml:space="preserve"> </w:t>
      </w:r>
      <w:r w:rsidRPr="00785094">
        <w:rPr>
          <w:rFonts w:ascii="Arial" w:hAnsi="Arial" w:cs="Arial"/>
          <w:color w:val="000000" w:themeColor="text1"/>
          <w:sz w:val="22"/>
          <w:szCs w:val="22"/>
        </w:rPr>
        <w:t>or</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conditions?</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(If</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so,</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specify</w:t>
      </w:r>
      <w:r w:rsidRPr="00785094">
        <w:rPr>
          <w:rFonts w:ascii="Arial" w:hAnsi="Arial" w:cs="Arial"/>
          <w:color w:val="000000" w:themeColor="text1"/>
          <w:spacing w:val="-11"/>
          <w:sz w:val="22"/>
          <w:szCs w:val="22"/>
        </w:rPr>
        <w:t xml:space="preserve"> </w:t>
      </w:r>
      <w:r w:rsidRPr="00785094">
        <w:rPr>
          <w:rFonts w:ascii="Arial" w:hAnsi="Arial" w:cs="Arial"/>
          <w:color w:val="000000" w:themeColor="text1"/>
          <w:sz w:val="22"/>
          <w:szCs w:val="22"/>
        </w:rPr>
        <w:t>the modifications or conditions proposed and state whether they are acceptable to the applicant). (Note: the precise form of any modifications or conditions subject to which the consent or direction is given is a</w:t>
      </w:r>
      <w:r w:rsidRPr="00785094">
        <w:rPr>
          <w:rFonts w:ascii="Arial" w:hAnsi="Arial" w:cs="Arial"/>
          <w:color w:val="000000" w:themeColor="text1"/>
          <w:spacing w:val="-1"/>
          <w:sz w:val="22"/>
          <w:szCs w:val="22"/>
        </w:rPr>
        <w:t xml:space="preserve"> </w:t>
      </w:r>
      <w:r w:rsidRPr="00785094">
        <w:rPr>
          <w:rFonts w:ascii="Arial" w:hAnsi="Arial" w:cs="Arial"/>
          <w:color w:val="000000" w:themeColor="text1"/>
          <w:sz w:val="22"/>
          <w:szCs w:val="22"/>
        </w:rPr>
        <w:t>matter for the Secretary of State, who</w:t>
      </w:r>
      <w:r w:rsidRPr="00785094">
        <w:rPr>
          <w:rFonts w:ascii="Arial" w:hAnsi="Arial" w:cs="Arial"/>
          <w:color w:val="000000" w:themeColor="text1"/>
          <w:spacing w:val="-1"/>
          <w:sz w:val="22"/>
          <w:szCs w:val="22"/>
        </w:rPr>
        <w:t xml:space="preserve"> </w:t>
      </w:r>
      <w:r w:rsidRPr="00785094">
        <w:rPr>
          <w:rFonts w:ascii="Arial" w:hAnsi="Arial" w:cs="Arial"/>
          <w:color w:val="000000" w:themeColor="text1"/>
          <w:sz w:val="22"/>
          <w:szCs w:val="22"/>
        </w:rPr>
        <w:t>will however have regard to the form of words used.)</w:t>
      </w:r>
    </w:p>
    <w:p w14:paraId="2D6FAA30" w14:textId="77777777" w:rsidR="00F81210" w:rsidRPr="00785094" w:rsidRDefault="00F81210" w:rsidP="00785094">
      <w:pPr>
        <w:pStyle w:val="BodyText"/>
        <w:ind w:left="140"/>
        <w:jc w:val="both"/>
        <w:rPr>
          <w:b/>
          <w:bCs/>
          <w:color w:val="000000" w:themeColor="text1"/>
        </w:rPr>
      </w:pPr>
      <w:r w:rsidRPr="00785094">
        <w:rPr>
          <w:b/>
          <w:bCs/>
          <w:color w:val="000000" w:themeColor="text1"/>
          <w:spacing w:val="-5"/>
        </w:rPr>
        <w:t>NA</w:t>
      </w:r>
    </w:p>
    <w:p w14:paraId="2FE0C87B" w14:textId="77777777" w:rsidR="00F81210" w:rsidRPr="00785094" w:rsidRDefault="00F81210" w:rsidP="00785094">
      <w:pPr>
        <w:pStyle w:val="BodyText"/>
        <w:spacing w:before="9"/>
        <w:jc w:val="both"/>
        <w:rPr>
          <w:color w:val="000000" w:themeColor="text1"/>
        </w:rPr>
      </w:pPr>
    </w:p>
    <w:p w14:paraId="5D77F6BD" w14:textId="77777777" w:rsidR="00F81210" w:rsidRPr="00785094" w:rsidRDefault="00F81210" w:rsidP="00785094">
      <w:pPr>
        <w:pStyle w:val="ListParagraph"/>
        <w:widowControl w:val="0"/>
        <w:numPr>
          <w:ilvl w:val="1"/>
          <w:numId w:val="14"/>
        </w:numPr>
        <w:tabs>
          <w:tab w:val="left" w:pos="391"/>
        </w:tabs>
        <w:autoSpaceDE w:val="0"/>
        <w:autoSpaceDN w:val="0"/>
        <w:spacing w:before="1" w:after="0" w:line="240" w:lineRule="auto"/>
        <w:ind w:right="275" w:firstLine="0"/>
        <w:contextualSpacing w:val="0"/>
        <w:jc w:val="both"/>
        <w:rPr>
          <w:rFonts w:ascii="Arial" w:hAnsi="Arial" w:cs="Arial"/>
          <w:color w:val="000000" w:themeColor="text1"/>
          <w:sz w:val="22"/>
          <w:szCs w:val="22"/>
        </w:rPr>
      </w:pPr>
      <w:r w:rsidRPr="00785094">
        <w:rPr>
          <w:rFonts w:ascii="Arial" w:hAnsi="Arial" w:cs="Arial"/>
          <w:color w:val="000000" w:themeColor="text1"/>
          <w:sz w:val="22"/>
          <w:szCs w:val="22"/>
        </w:rPr>
        <w:t>Does</w:t>
      </w:r>
      <w:r w:rsidRPr="00785094">
        <w:rPr>
          <w:rFonts w:ascii="Arial" w:hAnsi="Arial" w:cs="Arial"/>
          <w:color w:val="000000" w:themeColor="text1"/>
          <w:spacing w:val="-8"/>
          <w:sz w:val="22"/>
          <w:szCs w:val="22"/>
        </w:rPr>
        <w:t xml:space="preserve"> </w:t>
      </w:r>
      <w:r w:rsidRPr="00785094">
        <w:rPr>
          <w:rFonts w:ascii="Arial" w:hAnsi="Arial" w:cs="Arial"/>
          <w:color w:val="000000" w:themeColor="text1"/>
          <w:sz w:val="22"/>
          <w:szCs w:val="22"/>
        </w:rPr>
        <w:t>the</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relevant</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planning</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authority</w:t>
      </w:r>
      <w:r w:rsidRPr="00785094">
        <w:rPr>
          <w:rFonts w:ascii="Arial" w:hAnsi="Arial" w:cs="Arial"/>
          <w:color w:val="000000" w:themeColor="text1"/>
          <w:spacing w:val="-10"/>
          <w:sz w:val="22"/>
          <w:szCs w:val="22"/>
        </w:rPr>
        <w:t xml:space="preserve"> </w:t>
      </w:r>
      <w:r w:rsidRPr="00785094">
        <w:rPr>
          <w:rFonts w:ascii="Arial" w:hAnsi="Arial" w:cs="Arial"/>
          <w:color w:val="000000" w:themeColor="text1"/>
          <w:sz w:val="22"/>
          <w:szCs w:val="22"/>
        </w:rPr>
        <w:t>consider</w:t>
      </w:r>
      <w:r w:rsidRPr="00785094">
        <w:rPr>
          <w:rFonts w:ascii="Arial" w:hAnsi="Arial" w:cs="Arial"/>
          <w:color w:val="000000" w:themeColor="text1"/>
          <w:spacing w:val="-7"/>
          <w:sz w:val="22"/>
          <w:szCs w:val="22"/>
        </w:rPr>
        <w:t xml:space="preserve"> </w:t>
      </w:r>
      <w:r w:rsidRPr="00785094">
        <w:rPr>
          <w:rFonts w:ascii="Arial" w:hAnsi="Arial" w:cs="Arial"/>
          <w:color w:val="000000" w:themeColor="text1"/>
          <w:sz w:val="22"/>
          <w:szCs w:val="22"/>
        </w:rPr>
        <w:t>that</w:t>
      </w:r>
      <w:r w:rsidRPr="00785094">
        <w:rPr>
          <w:rFonts w:ascii="Arial" w:hAnsi="Arial" w:cs="Arial"/>
          <w:color w:val="000000" w:themeColor="text1"/>
          <w:spacing w:val="-5"/>
          <w:sz w:val="22"/>
          <w:szCs w:val="22"/>
        </w:rPr>
        <w:t xml:space="preserve"> </w:t>
      </w:r>
      <w:r w:rsidRPr="00785094">
        <w:rPr>
          <w:rFonts w:ascii="Arial" w:hAnsi="Arial" w:cs="Arial"/>
          <w:color w:val="000000" w:themeColor="text1"/>
          <w:sz w:val="22"/>
          <w:szCs w:val="22"/>
        </w:rPr>
        <w:t>the</w:t>
      </w:r>
      <w:r w:rsidRPr="00785094">
        <w:rPr>
          <w:rFonts w:ascii="Arial" w:hAnsi="Arial" w:cs="Arial"/>
          <w:color w:val="000000" w:themeColor="text1"/>
          <w:spacing w:val="-9"/>
          <w:sz w:val="22"/>
          <w:szCs w:val="22"/>
        </w:rPr>
        <w:t xml:space="preserve"> </w:t>
      </w:r>
      <w:r w:rsidRPr="00785094">
        <w:rPr>
          <w:rFonts w:ascii="Arial" w:hAnsi="Arial" w:cs="Arial"/>
          <w:color w:val="000000" w:themeColor="text1"/>
          <w:sz w:val="22"/>
          <w:szCs w:val="22"/>
        </w:rPr>
        <w:t>application</w:t>
      </w:r>
      <w:r w:rsidRPr="00785094">
        <w:rPr>
          <w:rFonts w:ascii="Arial" w:hAnsi="Arial" w:cs="Arial"/>
          <w:color w:val="000000" w:themeColor="text1"/>
          <w:spacing w:val="-4"/>
          <w:sz w:val="22"/>
          <w:szCs w:val="22"/>
        </w:rPr>
        <w:t xml:space="preserve"> </w:t>
      </w:r>
      <w:r w:rsidRPr="00785094">
        <w:rPr>
          <w:rFonts w:ascii="Arial" w:hAnsi="Arial" w:cs="Arial"/>
          <w:color w:val="000000" w:themeColor="text1"/>
          <w:sz w:val="22"/>
          <w:szCs w:val="22"/>
        </w:rPr>
        <w:t>should</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be</w:t>
      </w:r>
      <w:r w:rsidRPr="00785094">
        <w:rPr>
          <w:rFonts w:ascii="Arial" w:hAnsi="Arial" w:cs="Arial"/>
          <w:color w:val="000000" w:themeColor="text1"/>
          <w:spacing w:val="-6"/>
          <w:sz w:val="22"/>
          <w:szCs w:val="22"/>
        </w:rPr>
        <w:t xml:space="preserve"> </w:t>
      </w:r>
      <w:r w:rsidRPr="00785094">
        <w:rPr>
          <w:rFonts w:ascii="Arial" w:hAnsi="Arial" w:cs="Arial"/>
          <w:color w:val="000000" w:themeColor="text1"/>
          <w:sz w:val="22"/>
          <w:szCs w:val="22"/>
        </w:rPr>
        <w:t>accompanied by an environmental statement in accordance with the Electricity Works (Environmental Impact Assessment) (England and Wales) Regulations 2000? (If so, please specify the particular points arising from the application which have caused the local planning authority to take this view.</w:t>
      </w:r>
    </w:p>
    <w:p w14:paraId="5E41AB9E" w14:textId="77777777" w:rsidR="00F81210" w:rsidRPr="00785094" w:rsidRDefault="00F81210" w:rsidP="00785094">
      <w:pPr>
        <w:pStyle w:val="BodyText"/>
        <w:ind w:left="140"/>
        <w:jc w:val="both"/>
        <w:rPr>
          <w:b/>
          <w:bCs/>
          <w:color w:val="000000" w:themeColor="text1"/>
        </w:rPr>
      </w:pPr>
      <w:r w:rsidRPr="00785094">
        <w:rPr>
          <w:b/>
          <w:bCs/>
          <w:color w:val="000000" w:themeColor="text1"/>
          <w:spacing w:val="-5"/>
        </w:rPr>
        <w:t>No</w:t>
      </w:r>
    </w:p>
    <w:p w14:paraId="1861A903" w14:textId="77777777" w:rsidR="00F81210" w:rsidRPr="00785094" w:rsidRDefault="00F81210" w:rsidP="00785094">
      <w:pPr>
        <w:jc w:val="both"/>
        <w:rPr>
          <w:rFonts w:ascii="Arial" w:hAnsi="Arial" w:cs="Arial"/>
          <w:sz w:val="22"/>
          <w:szCs w:val="22"/>
        </w:rPr>
      </w:pPr>
    </w:p>
    <w:p w14:paraId="759D9F0B" w14:textId="77777777" w:rsidR="00F81210" w:rsidRPr="00785094" w:rsidRDefault="00F81210" w:rsidP="00785094">
      <w:pPr>
        <w:pStyle w:val="BodyText"/>
        <w:spacing w:line="237" w:lineRule="auto"/>
        <w:ind w:right="157"/>
        <w:jc w:val="both"/>
        <w:rPr>
          <w:b/>
          <w:bCs/>
          <w:lang w:val="en-GB"/>
        </w:rPr>
      </w:pPr>
      <w:r w:rsidRPr="00785094">
        <w:rPr>
          <w:b/>
          <w:bCs/>
          <w:lang w:val="en-GB"/>
        </w:rPr>
        <w:t>OFFICER'S COMMENT:</w:t>
      </w:r>
    </w:p>
    <w:p w14:paraId="2D09FA09" w14:textId="048F4FA6" w:rsidR="00F81210" w:rsidRPr="00785094" w:rsidRDefault="00F81210" w:rsidP="00785094">
      <w:pPr>
        <w:pStyle w:val="BodyText"/>
        <w:spacing w:before="4" w:line="276" w:lineRule="auto"/>
        <w:jc w:val="both"/>
        <w:rPr>
          <w:bCs/>
        </w:rPr>
      </w:pPr>
      <w:r w:rsidRPr="00785094">
        <w:rPr>
          <w:lang w:val="en-GB"/>
        </w:rPr>
        <w:t xml:space="preserve">The proposal to replace 8 electricity poles on </w:t>
      </w:r>
      <w:r w:rsidRPr="00785094">
        <w:rPr>
          <w:rFonts w:eastAsia="Times New Roman"/>
          <w:lang w:eastAsia="en-GB"/>
        </w:rPr>
        <w:t>Land South of B3089 &amp; Adjacent to Hindon Lane, Fonthill Gifford</w:t>
      </w:r>
      <w:r w:rsidRPr="00785094">
        <w:rPr>
          <w:lang w:val="en-GB"/>
        </w:rPr>
        <w:t xml:space="preserve">, as shown on the accompanying plan, is not considered to have any likely significant effect on the site, location or wider views within the </w:t>
      </w:r>
      <w:r w:rsidRPr="00785094">
        <w:rPr>
          <w:bCs/>
        </w:rPr>
        <w:t>Cranbourne Chase and West Wiltshire Downs National Landscape</w:t>
      </w:r>
    </w:p>
    <w:p w14:paraId="7443BA71" w14:textId="72C9EE2D" w:rsidR="00F81210" w:rsidRPr="00785094" w:rsidRDefault="00F81210" w:rsidP="00785094">
      <w:pPr>
        <w:pStyle w:val="BodyText"/>
        <w:spacing w:line="237" w:lineRule="auto"/>
        <w:ind w:left="140" w:right="157"/>
        <w:jc w:val="both"/>
        <w:rPr>
          <w:lang w:val="en-GB"/>
        </w:rPr>
      </w:pPr>
    </w:p>
    <w:p w14:paraId="655471E4" w14:textId="77777777" w:rsidR="00F81210" w:rsidRPr="00785094" w:rsidRDefault="00F81210" w:rsidP="00785094">
      <w:pPr>
        <w:pStyle w:val="BodyText"/>
        <w:spacing w:line="237" w:lineRule="auto"/>
        <w:ind w:right="157"/>
        <w:jc w:val="both"/>
      </w:pPr>
      <w:r w:rsidRPr="00785094">
        <w:rPr>
          <w:b/>
          <w:bCs/>
          <w:lang w:val="en-GB"/>
        </w:rPr>
        <w:t>The Local Planning Authority has no objection and does not wish to recommend that conditions are imposed.</w:t>
      </w:r>
    </w:p>
    <w:p w14:paraId="73A226F2" w14:textId="77777777" w:rsidR="00F81210" w:rsidRDefault="00F81210" w:rsidP="00F81210">
      <w:pPr>
        <w:pStyle w:val="BodyText"/>
        <w:spacing w:line="237" w:lineRule="auto"/>
        <w:ind w:left="140" w:right="157"/>
      </w:pPr>
    </w:p>
    <w:p w14:paraId="02AD3801" w14:textId="77777777" w:rsidR="00F81210" w:rsidRPr="00F7609E" w:rsidRDefault="00F81210" w:rsidP="00F81210">
      <w:pPr>
        <w:spacing w:after="0" w:line="276" w:lineRule="auto"/>
        <w:jc w:val="both"/>
        <w:rPr>
          <w:rFonts w:ascii="Arial" w:eastAsia="Times New Roman" w:hAnsi="Arial" w:cs="Arial"/>
          <w:kern w:val="0"/>
          <w:sz w:val="22"/>
          <w:szCs w:val="22"/>
          <w:lang w:eastAsia="en-GB"/>
          <w14:ligatures w14:val="none"/>
        </w:rPr>
      </w:pPr>
    </w:p>
    <w:sectPr w:rsidR="00F81210" w:rsidRP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EC0"/>
    <w:multiLevelType w:val="hybridMultilevel"/>
    <w:tmpl w:val="F9F6F4F8"/>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0583FCB"/>
    <w:multiLevelType w:val="hybridMultilevel"/>
    <w:tmpl w:val="18A0F0E8"/>
    <w:lvl w:ilvl="0" w:tplc="95A080C0">
      <w:start w:val="1"/>
      <w:numFmt w:val="lowerLetter"/>
      <w:lvlText w:val="(%1)"/>
      <w:lvlJc w:val="left"/>
      <w:pPr>
        <w:ind w:left="140" w:hanging="332"/>
      </w:pPr>
      <w:rPr>
        <w:rFonts w:ascii="Arial" w:eastAsia="Arial" w:hAnsi="Arial" w:cs="Arial" w:hint="default"/>
        <w:b w:val="0"/>
        <w:bCs w:val="0"/>
        <w:i w:val="0"/>
        <w:iCs w:val="0"/>
        <w:spacing w:val="0"/>
        <w:w w:val="100"/>
        <w:sz w:val="22"/>
        <w:szCs w:val="22"/>
        <w:lang w:val="en-US" w:eastAsia="en-US" w:bidi="ar-SA"/>
      </w:rPr>
    </w:lvl>
    <w:lvl w:ilvl="1" w:tplc="E9AC0DF8">
      <w:start w:val="1"/>
      <w:numFmt w:val="decimal"/>
      <w:lvlText w:val="%2."/>
      <w:lvlJc w:val="left"/>
      <w:pPr>
        <w:ind w:left="140" w:hanging="252"/>
      </w:pPr>
      <w:rPr>
        <w:rFonts w:ascii="Arial" w:eastAsia="Arial" w:hAnsi="Arial" w:cs="Arial" w:hint="default"/>
        <w:b w:val="0"/>
        <w:bCs w:val="0"/>
        <w:i w:val="0"/>
        <w:iCs w:val="0"/>
        <w:spacing w:val="-1"/>
        <w:w w:val="100"/>
        <w:sz w:val="22"/>
        <w:szCs w:val="22"/>
        <w:lang w:val="en-US" w:eastAsia="en-US" w:bidi="ar-SA"/>
      </w:rPr>
    </w:lvl>
    <w:lvl w:ilvl="2" w:tplc="64A68B9A">
      <w:numFmt w:val="bullet"/>
      <w:lvlText w:val="•"/>
      <w:lvlJc w:val="left"/>
      <w:pPr>
        <w:ind w:left="1978" w:hanging="252"/>
      </w:pPr>
      <w:rPr>
        <w:rFonts w:hint="default"/>
        <w:lang w:val="en-US" w:eastAsia="en-US" w:bidi="ar-SA"/>
      </w:rPr>
    </w:lvl>
    <w:lvl w:ilvl="3" w:tplc="122ED1F6">
      <w:numFmt w:val="bullet"/>
      <w:lvlText w:val="•"/>
      <w:lvlJc w:val="left"/>
      <w:pPr>
        <w:ind w:left="2897" w:hanging="252"/>
      </w:pPr>
      <w:rPr>
        <w:rFonts w:hint="default"/>
        <w:lang w:val="en-US" w:eastAsia="en-US" w:bidi="ar-SA"/>
      </w:rPr>
    </w:lvl>
    <w:lvl w:ilvl="4" w:tplc="516856D0">
      <w:numFmt w:val="bullet"/>
      <w:lvlText w:val="•"/>
      <w:lvlJc w:val="left"/>
      <w:pPr>
        <w:ind w:left="3816" w:hanging="252"/>
      </w:pPr>
      <w:rPr>
        <w:rFonts w:hint="default"/>
        <w:lang w:val="en-US" w:eastAsia="en-US" w:bidi="ar-SA"/>
      </w:rPr>
    </w:lvl>
    <w:lvl w:ilvl="5" w:tplc="E304C7CA">
      <w:numFmt w:val="bullet"/>
      <w:lvlText w:val="•"/>
      <w:lvlJc w:val="left"/>
      <w:pPr>
        <w:ind w:left="4735" w:hanging="252"/>
      </w:pPr>
      <w:rPr>
        <w:rFonts w:hint="default"/>
        <w:lang w:val="en-US" w:eastAsia="en-US" w:bidi="ar-SA"/>
      </w:rPr>
    </w:lvl>
    <w:lvl w:ilvl="6" w:tplc="0B88AB44">
      <w:numFmt w:val="bullet"/>
      <w:lvlText w:val="•"/>
      <w:lvlJc w:val="left"/>
      <w:pPr>
        <w:ind w:left="5654" w:hanging="252"/>
      </w:pPr>
      <w:rPr>
        <w:rFonts w:hint="default"/>
        <w:lang w:val="en-US" w:eastAsia="en-US" w:bidi="ar-SA"/>
      </w:rPr>
    </w:lvl>
    <w:lvl w:ilvl="7" w:tplc="E9784BC8">
      <w:numFmt w:val="bullet"/>
      <w:lvlText w:val="•"/>
      <w:lvlJc w:val="left"/>
      <w:pPr>
        <w:ind w:left="6573" w:hanging="252"/>
      </w:pPr>
      <w:rPr>
        <w:rFonts w:hint="default"/>
        <w:lang w:val="en-US" w:eastAsia="en-US" w:bidi="ar-SA"/>
      </w:rPr>
    </w:lvl>
    <w:lvl w:ilvl="8" w:tplc="A3F8D2C2">
      <w:numFmt w:val="bullet"/>
      <w:lvlText w:val="•"/>
      <w:lvlJc w:val="left"/>
      <w:pPr>
        <w:ind w:left="7492" w:hanging="252"/>
      </w:pPr>
      <w:rPr>
        <w:rFonts w:hint="default"/>
        <w:lang w:val="en-US" w:eastAsia="en-US" w:bidi="ar-SA"/>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05587"/>
    <w:multiLevelType w:val="hybridMultilevel"/>
    <w:tmpl w:val="5D4A7BC2"/>
    <w:lvl w:ilvl="0" w:tplc="AD484E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BF559C"/>
    <w:multiLevelType w:val="hybridMultilevel"/>
    <w:tmpl w:val="1A3A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2"/>
  </w:num>
  <w:num w:numId="4" w16cid:durableId="1650787556">
    <w:abstractNumId w:val="7"/>
  </w:num>
  <w:num w:numId="5" w16cid:durableId="466094426">
    <w:abstractNumId w:val="13"/>
  </w:num>
  <w:num w:numId="6" w16cid:durableId="1542328013">
    <w:abstractNumId w:val="14"/>
  </w:num>
  <w:num w:numId="7" w16cid:durableId="1004281297">
    <w:abstractNumId w:val="3"/>
  </w:num>
  <w:num w:numId="8" w16cid:durableId="1878279251">
    <w:abstractNumId w:val="1"/>
  </w:num>
  <w:num w:numId="9" w16cid:durableId="1286542474">
    <w:abstractNumId w:val="4"/>
  </w:num>
  <w:num w:numId="10" w16cid:durableId="2027555515">
    <w:abstractNumId w:val="11"/>
  </w:num>
  <w:num w:numId="11" w16cid:durableId="334724159">
    <w:abstractNumId w:val="10"/>
  </w:num>
  <w:num w:numId="12" w16cid:durableId="1840384416">
    <w:abstractNumId w:val="9"/>
  </w:num>
  <w:num w:numId="13" w16cid:durableId="622928169">
    <w:abstractNumId w:val="8"/>
  </w:num>
  <w:num w:numId="14" w16cid:durableId="374543743">
    <w:abstractNumId w:val="6"/>
  </w:num>
  <w:num w:numId="15" w16cid:durableId="1550678867">
    <w:abstractNumId w:val="0"/>
  </w:num>
  <w:num w:numId="16" w16cid:durableId="4948840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85094"/>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C1776"/>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3FC4"/>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455F"/>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25D2"/>
    <w:rsid w:val="00F7017C"/>
    <w:rsid w:val="00F7609E"/>
    <w:rsid w:val="00F77540"/>
    <w:rsid w:val="00F8121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9A93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1"/>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BodyText">
    <w:name w:val="Body Text"/>
    <w:basedOn w:val="Normal"/>
    <w:link w:val="BodyTextChar"/>
    <w:uiPriority w:val="1"/>
    <w:qFormat/>
    <w:rsid w:val="00F81210"/>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F81210"/>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salesforceId:47c41a69-3bcd-4c41-908d-2692288c4ffa</dc:subject>
  <dc:creator>O'Donoghue, Ruaridh</dc:creator>
  <cp:keywords/>
  <dc:description/>
  <cp:lastModifiedBy>Clements, Kate</cp:lastModifiedBy>
  <cp:revision>3</cp:revision>
  <dcterms:created xsi:type="dcterms:W3CDTF">2026-01-09T13:47:00Z</dcterms:created>
  <dcterms:modified xsi:type="dcterms:W3CDTF">2026-01-09T14:59:00Z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069Q300000LNGcgIAH</vt:lpwstr>
  </property>
</Properties>
</file>