
<file path=[Content_Types].xml><?xml version="1.0" encoding="utf-8"?>
<Types xmlns="http://schemas.openxmlformats.org/package/2006/content-types">
  <Default Extension="png" ContentType="image/png"/>
  <Default Extension="wdp" ContentType="image/vnd.ms-photo"/>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9FDA4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cs="Verdana"/>
          <w:sz w:val="20"/>
          <w:szCs w:val="20"/>
          <w:lang w:eastAsia="en-GB"/>
        </w:rPr>
        <w:drawing>
          <wp:anchor distT="0" distB="0" distL="114300" distR="114300" simplePos="0" relativeHeight="251659264" behindDoc="0" locked="0" layoutInCell="1" allowOverlap="1">
            <wp:simplePos x="0" y="0"/>
            <wp:positionH relativeFrom="column">
              <wp:posOffset>3945255</wp:posOffset>
            </wp:positionH>
            <wp:positionV relativeFrom="paragraph">
              <wp:posOffset>-417195</wp:posOffset>
            </wp:positionV>
            <wp:extent cx="2278380" cy="2235200"/>
            <wp:effectExtent l="0" t="0" r="7620" b="0"/>
            <wp:wrapNone/>
            <wp:docPr id="12" name="Picture 1" descr="C:\Users\Willis &amp; Co\Documents\My Documents\Clients\Templates &amp; Other\LetterHeadedPaper.jpg"/>
            <wp:cNvGraphicFramePr/>
            <a:graphic xmlns:a="http://schemas.openxmlformats.org/drawingml/2006/main">
              <a:graphicData uri="http://schemas.openxmlformats.org/drawingml/2006/picture">
                <pic:pic xmlns:pic="http://schemas.openxmlformats.org/drawingml/2006/picture">
                  <pic:nvPicPr>
                    <pic:cNvPr id="12" name="Picture 1" descr="C:\Users\Willis &amp; Co\Documents\My Documents\Clients\Templates &amp; Other\LetterHeadedPaper.jpg"/>
                    <pic:cNvPicPr/>
                  </pic:nvPicPr>
                  <pic:blipFill>
                    <a:blip r:embed="rId7" cstate="print">
                      <a:extLst>
                        <a:ext uri="{BEBA8EAE-BF5A-486C-A8C5-ECC9F3942E4B}">
                          <a14:imgProps xmlns:a14="http://schemas.microsoft.com/office/drawing/2010/main">
                            <a14:imgLayer r:embed="rId8">
                              <a14:imgEffect>
                                <a14:saturation sat="196000"/>
                              </a14:imgEffect>
                            </a14:imgLayer>
                          </a14:imgProps>
                        </a:ext>
                        <a:ext uri="{28A0092B-C50C-407E-A947-70E740481C1C}">
                          <a14:useLocalDpi xmlns:a14="http://schemas.microsoft.com/office/drawing/2010/main" val="0"/>
                        </a:ext>
                      </a:extLst>
                    </a:blip>
                    <a:srcRect l="65204" b="74702"/>
                    <a:stretch>
                      <a:fillRect/>
                    </a:stretch>
                  </pic:blipFill>
                  <pic:spPr>
                    <a:xfrm>
                      <a:off x="0" y="0"/>
                      <a:ext cx="2278380" cy="2235200"/>
                    </a:xfrm>
                    <a:prstGeom prst="rect">
                      <a:avLst/>
                    </a:prstGeom>
                    <a:noFill/>
                    <a:ln w="9525">
                      <a:noFill/>
                      <a:miter lim="800000"/>
                      <a:headEnd/>
                      <a:tailEnd/>
                    </a:ln>
                  </pic:spPr>
                </pic:pic>
              </a:graphicData>
            </a:graphic>
          </wp:anchor>
        </w:drawing>
      </w:r>
      <w:r>
        <w:rPr>
          <w:rFonts w:hint="default" w:ascii="Verdana" w:hAnsi="Verdana" w:eastAsia="SimSun" w:cs="Verdana"/>
          <w:b/>
          <w:bCs/>
          <w:color w:val="000000"/>
          <w:kern w:val="0"/>
          <w:sz w:val="20"/>
          <w:szCs w:val="20"/>
          <w:lang w:val="en-US" w:eastAsia="zh-CN" w:bidi="ar"/>
        </w:rPr>
        <w:t xml:space="preserve">Our ref: </w:t>
      </w:r>
      <w:r>
        <w:rPr>
          <w:rFonts w:hint="default" w:ascii="Verdana" w:hAnsi="Verdana" w:eastAsia="SimSun" w:cs="Verdana"/>
          <w:b w:val="0"/>
          <w:bCs w:val="0"/>
          <w:color w:val="000000"/>
          <w:kern w:val="0"/>
          <w:sz w:val="20"/>
          <w:szCs w:val="20"/>
          <w:lang w:val="en-US" w:eastAsia="zh-CN" w:bidi="ar"/>
        </w:rPr>
        <w:t>JH</w:t>
      </w:r>
      <w:r>
        <w:rPr>
          <w:rFonts w:hint="default" w:ascii="Verdana" w:hAnsi="Verdana" w:eastAsia="SimSun" w:cs="Verdana"/>
          <w:color w:val="000000"/>
          <w:kern w:val="0"/>
          <w:sz w:val="20"/>
          <w:szCs w:val="20"/>
          <w:lang w:val="en-US" w:eastAsia="zh-CN" w:bidi="ar"/>
        </w:rPr>
        <w:t>/</w:t>
      </w:r>
      <w:r>
        <w:rPr>
          <w:rFonts w:hint="default" w:ascii="Verdana" w:hAnsi="Verdana" w:eastAsia="SimSun" w:cs="Verdana"/>
          <w:color w:val="000000"/>
          <w:kern w:val="0"/>
          <w:sz w:val="20"/>
          <w:szCs w:val="20"/>
          <w:lang w:val="en-GB" w:eastAsia="zh-CN" w:bidi="ar"/>
        </w:rPr>
        <w:t>Marsh</w:t>
      </w:r>
      <w:r>
        <w:rPr>
          <w:rFonts w:hint="default" w:ascii="Verdana" w:hAnsi="Verdana" w:eastAsia="SimSun" w:cs="Verdana"/>
          <w:color w:val="000000"/>
          <w:kern w:val="0"/>
          <w:sz w:val="20"/>
          <w:szCs w:val="20"/>
          <w:lang w:val="en-US" w:eastAsia="zh-CN" w:bidi="ar"/>
        </w:rPr>
        <w:t xml:space="preserve"> </w:t>
      </w:r>
    </w:p>
    <w:p w14:paraId="7F08CE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7409E4D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GB" w:eastAsia="zh-CN" w:bidi="ar"/>
        </w:rPr>
        <w:t>15</w:t>
      </w:r>
      <w:r>
        <w:rPr>
          <w:rFonts w:hint="default" w:ascii="Verdana" w:hAnsi="Verdana" w:eastAsia="SimSun" w:cs="Verdana"/>
          <w:color w:val="000000"/>
          <w:kern w:val="0"/>
          <w:sz w:val="20"/>
          <w:szCs w:val="20"/>
          <w:vertAlign w:val="superscript"/>
          <w:lang w:val="en-GB" w:eastAsia="zh-CN" w:bidi="ar"/>
        </w:rPr>
        <w:t>th</w:t>
      </w:r>
      <w:r>
        <w:rPr>
          <w:rFonts w:hint="default" w:ascii="Verdana" w:hAnsi="Verdana" w:eastAsia="SimSun" w:cs="Verdana"/>
          <w:color w:val="000000"/>
          <w:kern w:val="0"/>
          <w:sz w:val="20"/>
          <w:szCs w:val="20"/>
          <w:lang w:val="en-GB" w:eastAsia="zh-CN" w:bidi="ar"/>
        </w:rPr>
        <w:t xml:space="preserve"> Dec</w:t>
      </w:r>
      <w:r>
        <w:rPr>
          <w:rFonts w:hint="default" w:ascii="Verdana" w:hAnsi="Verdana" w:eastAsia="SimSun" w:cs="Verdana"/>
          <w:color w:val="000000"/>
          <w:kern w:val="0"/>
          <w:sz w:val="20"/>
          <w:szCs w:val="20"/>
          <w:lang w:val="en-US" w:eastAsia="zh-CN" w:bidi="ar"/>
        </w:rPr>
        <w:t>ember 202</w:t>
      </w:r>
      <w:r>
        <w:rPr>
          <w:rFonts w:hint="default" w:ascii="Verdana" w:hAnsi="Verdana" w:eastAsia="SimSun" w:cs="Verdana"/>
          <w:color w:val="000000"/>
          <w:kern w:val="0"/>
          <w:sz w:val="20"/>
          <w:szCs w:val="20"/>
          <w:lang w:val="en-GB" w:eastAsia="zh-CN" w:bidi="ar"/>
        </w:rPr>
        <w:t>5</w:t>
      </w:r>
      <w:r>
        <w:rPr>
          <w:rFonts w:hint="default" w:ascii="Verdana" w:hAnsi="Verdana" w:eastAsia="SimSun" w:cs="Verdana"/>
          <w:color w:val="000000"/>
          <w:kern w:val="0"/>
          <w:sz w:val="20"/>
          <w:szCs w:val="20"/>
          <w:lang w:val="en-US" w:eastAsia="zh-CN" w:bidi="ar"/>
        </w:rPr>
        <w:t xml:space="preserve"> </w:t>
      </w:r>
    </w:p>
    <w:p w14:paraId="0C64434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03776ABB">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1A8B836E">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6BA9C091">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US" w:eastAsia="zh-CN"/>
        </w:rPr>
      </w:pPr>
      <w:r>
        <w:rPr>
          <w:rFonts w:hint="default" w:ascii="Verdana" w:hAnsi="Verdana" w:cs="Verdana"/>
          <w:sz w:val="20"/>
          <w:szCs w:val="20"/>
          <w:lang w:val="en-US" w:eastAsia="zh-CN"/>
        </w:rPr>
        <w:t xml:space="preserve">Planning Services </w:t>
      </w:r>
    </w:p>
    <w:p w14:paraId="52FA8A1F">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GB" w:eastAsia="zh-CN"/>
        </w:rPr>
      </w:pPr>
      <w:r>
        <w:rPr>
          <w:rFonts w:hint="default" w:ascii="Verdana" w:hAnsi="Verdana" w:cs="Verdana"/>
          <w:sz w:val="20"/>
          <w:szCs w:val="20"/>
          <w:lang w:val="en-GB" w:eastAsia="zh-CN"/>
        </w:rPr>
        <w:t>Wiltshire Council</w:t>
      </w:r>
    </w:p>
    <w:p w14:paraId="3351C9A4">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US" w:eastAsia="zh-CN"/>
        </w:rPr>
      </w:pPr>
      <w:r>
        <w:rPr>
          <w:rFonts w:hint="default" w:ascii="Verdana" w:hAnsi="Verdana" w:cs="Verdana"/>
          <w:sz w:val="20"/>
          <w:szCs w:val="20"/>
          <w:lang w:val="en-GB" w:eastAsia="zh-CN"/>
        </w:rPr>
        <w:t>Monkton Park</w:t>
      </w:r>
      <w:r>
        <w:rPr>
          <w:rFonts w:hint="default" w:ascii="Verdana" w:hAnsi="Verdana" w:cs="Verdana"/>
          <w:sz w:val="20"/>
          <w:szCs w:val="20"/>
          <w:lang w:val="en-US" w:eastAsia="zh-CN"/>
        </w:rPr>
        <w:t xml:space="preserve"> Offices</w:t>
      </w:r>
    </w:p>
    <w:p w14:paraId="3E2CE655">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rPr>
      </w:pPr>
      <w:r>
        <w:rPr>
          <w:rFonts w:hint="default" w:ascii="Verdana" w:hAnsi="Verdana" w:cs="Verdana"/>
          <w:sz w:val="20"/>
          <w:szCs w:val="20"/>
          <w:lang w:val="en-GB" w:eastAsia="zh-CN"/>
        </w:rPr>
        <w:t>Monkton Hill</w:t>
      </w:r>
      <w:r>
        <w:rPr>
          <w:rFonts w:hint="default" w:ascii="Verdana" w:hAnsi="Verdana" w:cs="Verdana"/>
          <w:sz w:val="20"/>
          <w:szCs w:val="20"/>
          <w:lang w:val="en-US" w:eastAsia="zh-CN"/>
        </w:rPr>
        <w:t xml:space="preserve"> </w:t>
      </w:r>
    </w:p>
    <w:p w14:paraId="26E01764">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GB" w:eastAsia="zh-CN"/>
        </w:rPr>
      </w:pPr>
      <w:r>
        <w:rPr>
          <w:rFonts w:hint="default" w:ascii="Verdana" w:hAnsi="Verdana" w:cs="Verdana"/>
          <w:sz w:val="20"/>
          <w:szCs w:val="20"/>
          <w:lang w:val="en-GB" w:eastAsia="zh-CN"/>
        </w:rPr>
        <w:t>Chippenham</w:t>
      </w:r>
    </w:p>
    <w:p w14:paraId="023742AB">
      <w:pPr>
        <w:keepNext w:val="0"/>
        <w:keepLines w:val="0"/>
        <w:pageBreakBefore w:val="0"/>
        <w:widowControl/>
        <w:kinsoku/>
        <w:wordWrap/>
        <w:overflowPunct/>
        <w:topLinePunct w:val="0"/>
        <w:autoSpaceDE/>
        <w:autoSpaceDN/>
        <w:bidi w:val="0"/>
        <w:adjustRightInd/>
        <w:snapToGrid/>
        <w:spacing w:after="0" w:line="240" w:lineRule="auto"/>
        <w:textAlignment w:val="auto"/>
        <w:rPr>
          <w:rFonts w:hint="default" w:ascii="Verdana" w:hAnsi="Verdana" w:cs="Verdana"/>
          <w:sz w:val="20"/>
          <w:szCs w:val="20"/>
          <w:lang w:val="en-GB" w:eastAsia="zh-CN"/>
        </w:rPr>
      </w:pPr>
      <w:r>
        <w:rPr>
          <w:rFonts w:hint="default" w:ascii="Verdana" w:hAnsi="Verdana" w:cs="Verdana"/>
          <w:sz w:val="20"/>
          <w:szCs w:val="20"/>
          <w:lang w:val="en-GB" w:eastAsia="zh-CN"/>
        </w:rPr>
        <w:t>Wiltshire</w:t>
      </w:r>
    </w:p>
    <w:p w14:paraId="7D8383D6">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lang w:val="en-GB" w:eastAsia="zh-CN"/>
        </w:rPr>
      </w:pPr>
      <w:r>
        <w:rPr>
          <w:rFonts w:hint="default" w:ascii="Verdana" w:hAnsi="Verdana" w:cs="Verdana"/>
          <w:sz w:val="20"/>
          <w:szCs w:val="20"/>
          <w:lang w:val="en-GB" w:eastAsia="zh-CN"/>
        </w:rPr>
        <w:t>SN15 1ER</w:t>
      </w:r>
    </w:p>
    <w:p w14:paraId="541B9B6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lang w:val="en-GB" w:eastAsia="zh-CN"/>
        </w:rPr>
      </w:pPr>
    </w:p>
    <w:p w14:paraId="6F498917">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lang w:val="en-GB" w:eastAsia="zh-CN"/>
        </w:rPr>
      </w:pPr>
      <w:bookmarkStart w:id="0" w:name="_GoBack"/>
      <w:bookmarkEnd w:id="0"/>
    </w:p>
    <w:p w14:paraId="6F431A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36B3FF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C5EEBE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Dear Sir, </w:t>
      </w:r>
    </w:p>
    <w:p w14:paraId="42D257A9">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0CD8702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r>
        <w:rPr>
          <w:rFonts w:hint="default" w:ascii="Verdana" w:hAnsi="Verdana" w:eastAsia="SimSun" w:cs="Verdana"/>
          <w:b/>
          <w:bCs/>
          <w:color w:val="000000"/>
          <w:kern w:val="0"/>
          <w:sz w:val="20"/>
          <w:szCs w:val="20"/>
          <w:lang w:val="en-US" w:eastAsia="zh-CN" w:bidi="ar"/>
        </w:rPr>
        <w:t xml:space="preserve">Town and Country Planning Act 1990 </w:t>
      </w:r>
    </w:p>
    <w:p w14:paraId="1534D0C4">
      <w:pPr>
        <w:pStyle w:val="6"/>
        <w:bidi w:val="0"/>
        <w:spacing w:line="240" w:lineRule="auto"/>
        <w:jc w:val="both"/>
        <w:rPr>
          <w:rFonts w:hint="default" w:ascii="Verdana" w:hAnsi="Verdana" w:cs="Verdana"/>
          <w:b/>
          <w:bCs/>
          <w:sz w:val="20"/>
          <w:szCs w:val="20"/>
        </w:rPr>
      </w:pPr>
      <w:r>
        <w:rPr>
          <w:rFonts w:hint="default" w:ascii="Verdana" w:hAnsi="Verdana" w:cs="Verdana"/>
          <w:b/>
          <w:bCs/>
          <w:sz w:val="20"/>
          <w:szCs w:val="20"/>
          <w:lang w:val="en-GB"/>
        </w:rPr>
        <w:t>Householder planning application for the conversion of existing outbuildings into ancillary accommodation and home office and the erection of new car port at Swallows Rest, Little Somerford, Chippenham, Wiltshire SN15 5BJ</w:t>
      </w:r>
      <w:r>
        <w:rPr>
          <w:rFonts w:hint="default" w:ascii="Verdana" w:hAnsi="Verdana" w:cs="Verdana"/>
          <w:b/>
          <w:bCs/>
          <w:sz w:val="20"/>
          <w:szCs w:val="20"/>
        </w:rPr>
        <w:t>.</w:t>
      </w:r>
    </w:p>
    <w:p w14:paraId="6E79B2A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p>
    <w:p w14:paraId="40C9C8A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US" w:eastAsia="zh-CN" w:bidi="ar"/>
        </w:rPr>
        <w:t>Introduction</w:t>
      </w:r>
      <w:r>
        <w:rPr>
          <w:rFonts w:hint="default" w:ascii="Verdana" w:hAnsi="Verdana" w:eastAsia="SimSun" w:cs="Verdana"/>
          <w:color w:val="000000"/>
          <w:kern w:val="0"/>
          <w:sz w:val="20"/>
          <w:szCs w:val="20"/>
          <w:lang w:val="en-US" w:eastAsia="zh-CN" w:bidi="ar"/>
        </w:rPr>
        <w:t xml:space="preserve"> </w:t>
      </w:r>
    </w:p>
    <w:p w14:paraId="2859CD8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57532D5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lang w:val="en-GB"/>
        </w:rPr>
      </w:pPr>
      <w:r>
        <w:rPr>
          <w:rFonts w:hint="default" w:ascii="Verdana" w:hAnsi="Verdana" w:cs="Verdana"/>
          <w:sz w:val="20"/>
          <w:szCs w:val="20"/>
          <w:lang w:val="en-GB"/>
        </w:rPr>
        <w:t>We are instructed by our client</w:t>
      </w:r>
      <w:r>
        <w:rPr>
          <w:rFonts w:hint="default" w:ascii="Verdana" w:hAnsi="Verdana" w:cs="Verdana"/>
          <w:b w:val="0"/>
          <w:bCs w:val="0"/>
          <w:sz w:val="20"/>
          <w:szCs w:val="20"/>
          <w:u w:val="none"/>
          <w:lang w:val="en-GB"/>
        </w:rPr>
        <w:t xml:space="preserve">, Erica Marsh, </w:t>
      </w:r>
      <w:r>
        <w:rPr>
          <w:rFonts w:hint="default" w:ascii="Verdana" w:hAnsi="Verdana" w:cs="Verdana"/>
          <w:sz w:val="20"/>
          <w:szCs w:val="20"/>
          <w:lang w:val="en-GB"/>
        </w:rPr>
        <w:t>to prepare and submit this householder planning application for the above development.</w:t>
      </w:r>
    </w:p>
    <w:p w14:paraId="5CDDF01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2"/>
          <w:szCs w:val="22"/>
          <w:lang w:val="en-US" w:eastAsia="zh-CN"/>
        </w:rPr>
      </w:pPr>
    </w:p>
    <w:p w14:paraId="6E61352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US" w:eastAsia="zh-CN" w:bidi="ar"/>
        </w:rPr>
        <w:t>Site Description</w:t>
      </w:r>
      <w:r>
        <w:rPr>
          <w:rFonts w:hint="default" w:ascii="Verdana" w:hAnsi="Verdana" w:eastAsia="SimSun" w:cs="Verdana"/>
          <w:color w:val="000000"/>
          <w:kern w:val="0"/>
          <w:sz w:val="20"/>
          <w:szCs w:val="20"/>
          <w:lang w:val="en-US" w:eastAsia="zh-CN" w:bidi="ar"/>
        </w:rPr>
        <w:t xml:space="preserve"> </w:t>
      </w:r>
    </w:p>
    <w:p w14:paraId="1FA3A43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0AA1535A">
      <w:pPr>
        <w:numPr>
          <w:ilvl w:val="0"/>
          <w:numId w:val="0"/>
        </w:numPr>
        <w:spacing w:line="240" w:lineRule="auto"/>
        <w:ind w:leftChars="0"/>
        <w:jc w:val="both"/>
        <w:rPr>
          <w:rFonts w:hint="default" w:ascii="Verdana" w:hAnsi="Verdana" w:eastAsia="SimSun" w:cs="Verdana"/>
          <w:color w:val="000000"/>
          <w:kern w:val="0"/>
          <w:sz w:val="20"/>
          <w:szCs w:val="20"/>
          <w:lang w:val="en-US" w:eastAsia="zh-CN" w:bidi="ar"/>
        </w:rPr>
      </w:pPr>
      <w:r>
        <w:rPr>
          <w:rFonts w:hint="default" w:ascii="Verdana" w:hAnsi="Verdana" w:cs="Verdana"/>
          <w:sz w:val="20"/>
          <w:szCs w:val="20"/>
          <w:highlight w:val="none"/>
          <w:u w:val="none"/>
          <w:lang w:val="en-GB"/>
        </w:rPr>
        <w:t>Swallows Rest a two-storey former farmhouse that is accessed directly from the B4042. The site lies in largely open countryside approximately 800m south of Lea.</w:t>
      </w:r>
    </w:p>
    <w:p w14:paraId="0CA7825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GB" w:eastAsia="zh-CN" w:bidi="ar"/>
        </w:rPr>
        <w:t>Planning</w:t>
      </w:r>
      <w:r>
        <w:rPr>
          <w:rFonts w:hint="default" w:ascii="Verdana" w:hAnsi="Verdana" w:eastAsia="SimSun" w:cs="Verdana"/>
          <w:b/>
          <w:bCs/>
          <w:color w:val="000000"/>
          <w:kern w:val="0"/>
          <w:sz w:val="20"/>
          <w:szCs w:val="20"/>
          <w:u w:val="single"/>
          <w:lang w:val="en-US" w:eastAsia="zh-CN" w:bidi="ar"/>
        </w:rPr>
        <w:t xml:space="preserve"> History</w:t>
      </w:r>
      <w:r>
        <w:rPr>
          <w:rFonts w:hint="default" w:ascii="Verdana" w:hAnsi="Verdana" w:eastAsia="SimSun" w:cs="Verdana"/>
          <w:color w:val="000000"/>
          <w:kern w:val="0"/>
          <w:sz w:val="20"/>
          <w:szCs w:val="20"/>
          <w:lang w:val="en-US" w:eastAsia="zh-CN" w:bidi="ar"/>
        </w:rPr>
        <w:t xml:space="preserve"> </w:t>
      </w:r>
    </w:p>
    <w:p w14:paraId="4441184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61E255CB">
      <w:pPr>
        <w:numPr>
          <w:ilvl w:val="0"/>
          <w:numId w:val="0"/>
        </w:numPr>
        <w:spacing w:line="240" w:lineRule="auto"/>
        <w:ind w:leftChars="0"/>
        <w:jc w:val="both"/>
        <w:rPr>
          <w:rFonts w:hint="default" w:ascii="Verdana" w:hAnsi="Verdana" w:cs="Verdana"/>
          <w:sz w:val="20"/>
          <w:szCs w:val="20"/>
          <w:highlight w:val="none"/>
          <w:u w:val="none"/>
          <w:lang w:val="en-GB"/>
        </w:rPr>
      </w:pPr>
      <w:r>
        <w:rPr>
          <w:rFonts w:hint="default" w:ascii="Verdana" w:hAnsi="Verdana" w:cs="Arial"/>
          <w:b w:val="0"/>
          <w:bCs/>
          <w:sz w:val="20"/>
          <w:szCs w:val="20"/>
          <w:u w:val="none"/>
          <w:vertAlign w:val="baseline"/>
          <w:lang w:val="en-GB"/>
        </w:rPr>
        <w:t xml:space="preserve">PL/2024/10730; </w:t>
      </w:r>
      <w:r>
        <w:rPr>
          <w:rFonts w:hint="default" w:ascii="Verdana" w:hAnsi="Verdana" w:cs="Arial"/>
          <w:b w:val="0"/>
          <w:bCs/>
          <w:i/>
          <w:iCs/>
          <w:sz w:val="20"/>
          <w:szCs w:val="20"/>
          <w:u w:val="none"/>
          <w:vertAlign w:val="baseline"/>
          <w:lang w:val="en-GB"/>
        </w:rPr>
        <w:t xml:space="preserve">Creation of new access and driveway and closing up of existing access. </w:t>
      </w:r>
      <w:r>
        <w:rPr>
          <w:rFonts w:hint="default" w:ascii="Verdana" w:hAnsi="Verdana" w:cs="Arial"/>
          <w:b w:val="0"/>
          <w:bCs/>
          <w:sz w:val="20"/>
          <w:szCs w:val="20"/>
          <w:u w:val="none"/>
          <w:vertAlign w:val="baseline"/>
          <w:lang w:val="en-GB"/>
        </w:rPr>
        <w:t>Application granted, 20</w:t>
      </w:r>
      <w:r>
        <w:rPr>
          <w:rFonts w:hint="default" w:ascii="Verdana" w:hAnsi="Verdana" w:cs="Arial"/>
          <w:b w:val="0"/>
          <w:bCs/>
          <w:sz w:val="20"/>
          <w:szCs w:val="20"/>
          <w:u w:val="none"/>
          <w:vertAlign w:val="superscript"/>
          <w:lang w:val="en-GB"/>
        </w:rPr>
        <w:t>th</w:t>
      </w:r>
      <w:r>
        <w:rPr>
          <w:rFonts w:hint="default" w:ascii="Verdana" w:hAnsi="Verdana" w:cs="Arial"/>
          <w:b w:val="0"/>
          <w:bCs/>
          <w:sz w:val="20"/>
          <w:szCs w:val="20"/>
          <w:u w:val="none"/>
          <w:vertAlign w:val="baseline"/>
          <w:lang w:val="en-GB"/>
        </w:rPr>
        <w:t xml:space="preserve"> January 2025.</w:t>
      </w:r>
    </w:p>
    <w:p w14:paraId="610AF221">
      <w:pPr>
        <w:numPr>
          <w:ilvl w:val="0"/>
          <w:numId w:val="0"/>
        </w:numPr>
        <w:spacing w:line="240" w:lineRule="auto"/>
        <w:ind w:leftChars="0"/>
        <w:jc w:val="both"/>
        <w:rPr>
          <w:rFonts w:hint="default" w:ascii="Verdana" w:hAnsi="Verdana" w:cs="Arial"/>
          <w:b w:val="0"/>
          <w:bCs/>
          <w:sz w:val="20"/>
          <w:szCs w:val="20"/>
          <w:u w:val="none"/>
          <w:vertAlign w:val="baseline"/>
          <w:lang w:val="en-GB"/>
        </w:rPr>
      </w:pPr>
      <w:r>
        <w:rPr>
          <w:rFonts w:hint="default" w:ascii="Verdana" w:hAnsi="Verdana" w:cs="Arial"/>
          <w:b w:val="0"/>
          <w:bCs/>
          <w:sz w:val="20"/>
          <w:szCs w:val="20"/>
          <w:u w:val="none"/>
          <w:vertAlign w:val="baseline"/>
          <w:lang w:val="en-GB"/>
        </w:rPr>
        <w:t xml:space="preserve">Appeal Ref: APP/Y3940/W/16/3158480; </w:t>
      </w:r>
      <w:r>
        <w:rPr>
          <w:rFonts w:hint="default" w:ascii="Verdana" w:hAnsi="Verdana" w:cs="Arial"/>
          <w:b w:val="0"/>
          <w:bCs/>
          <w:i/>
          <w:iCs/>
          <w:sz w:val="20"/>
          <w:szCs w:val="20"/>
          <w:u w:val="none"/>
          <w:vertAlign w:val="baseline"/>
          <w:lang w:val="en-GB"/>
        </w:rPr>
        <w:t xml:space="preserve">Demolition of existing outbuildings to be replaced with 4 no. tourist accommodation units. </w:t>
      </w:r>
      <w:r>
        <w:rPr>
          <w:rFonts w:hint="default" w:ascii="Verdana" w:hAnsi="Verdana" w:cs="Arial"/>
          <w:b w:val="0"/>
          <w:bCs/>
          <w:i w:val="0"/>
          <w:iCs w:val="0"/>
          <w:sz w:val="20"/>
          <w:szCs w:val="20"/>
          <w:u w:val="none"/>
          <w:vertAlign w:val="baseline"/>
          <w:lang w:val="en-GB"/>
        </w:rPr>
        <w:t>Appeal allowed 19</w:t>
      </w:r>
      <w:r>
        <w:rPr>
          <w:rFonts w:hint="default" w:ascii="Verdana" w:hAnsi="Verdana" w:cs="Arial"/>
          <w:b w:val="0"/>
          <w:bCs/>
          <w:i w:val="0"/>
          <w:iCs w:val="0"/>
          <w:sz w:val="20"/>
          <w:szCs w:val="20"/>
          <w:u w:val="none"/>
          <w:vertAlign w:val="superscript"/>
          <w:lang w:val="en-GB"/>
        </w:rPr>
        <w:t>th</w:t>
      </w:r>
      <w:r>
        <w:rPr>
          <w:rFonts w:hint="default" w:ascii="Verdana" w:hAnsi="Verdana" w:cs="Arial"/>
          <w:b w:val="0"/>
          <w:bCs/>
          <w:i w:val="0"/>
          <w:iCs w:val="0"/>
          <w:sz w:val="20"/>
          <w:szCs w:val="20"/>
          <w:u w:val="none"/>
          <w:vertAlign w:val="baseline"/>
          <w:lang w:val="en-GB"/>
        </w:rPr>
        <w:t xml:space="preserve"> January 2017.</w:t>
      </w:r>
    </w:p>
    <w:p w14:paraId="407878F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u w:val="single"/>
          <w:lang w:val="en-GB" w:eastAsia="zh-CN" w:bidi="ar"/>
        </w:rPr>
      </w:pPr>
      <w:r>
        <w:rPr>
          <w:rFonts w:hint="default" w:ascii="Verdana" w:hAnsi="Verdana" w:eastAsia="SimSun" w:cs="Verdana"/>
          <w:b/>
          <w:bCs/>
          <w:color w:val="000000"/>
          <w:kern w:val="0"/>
          <w:sz w:val="20"/>
          <w:szCs w:val="20"/>
          <w:u w:val="single"/>
          <w:lang w:val="en-US" w:eastAsia="zh-CN" w:bidi="ar"/>
        </w:rPr>
        <w:t>Proposa</w:t>
      </w:r>
      <w:r>
        <w:rPr>
          <w:rFonts w:hint="default" w:ascii="Verdana" w:hAnsi="Verdana" w:eastAsia="SimSun" w:cs="Verdana"/>
          <w:b/>
          <w:bCs/>
          <w:color w:val="000000"/>
          <w:kern w:val="0"/>
          <w:sz w:val="20"/>
          <w:szCs w:val="20"/>
          <w:u w:val="single"/>
          <w:lang w:val="en-GB" w:eastAsia="zh-CN" w:bidi="ar"/>
        </w:rPr>
        <w:t>l</w:t>
      </w:r>
    </w:p>
    <w:p w14:paraId="4A74E1C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u w:val="single"/>
          <w:lang w:val="en-GB" w:eastAsia="zh-CN" w:bidi="ar"/>
        </w:rPr>
      </w:pPr>
    </w:p>
    <w:p w14:paraId="2445C72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US" w:eastAsia="zh-CN" w:bidi="ar"/>
        </w:rPr>
        <w:t>Th</w:t>
      </w:r>
      <w:r>
        <w:rPr>
          <w:rFonts w:hint="default" w:ascii="Verdana" w:hAnsi="Verdana" w:eastAsia="SimSun" w:cs="Verdana"/>
          <w:color w:val="000000"/>
          <w:kern w:val="0"/>
          <w:sz w:val="20"/>
          <w:szCs w:val="20"/>
          <w:lang w:val="en-GB" w:eastAsia="zh-CN" w:bidi="ar"/>
        </w:rPr>
        <w:t>is is a householder application to convert the existing outbuildings into ancillary accommodation, home office and the erection of a carport.</w:t>
      </w:r>
    </w:p>
    <w:p w14:paraId="2B769B3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0B0C429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 xml:space="preserve">Presently, the outbuildings offer enclosed storage space and home working space. However the buildings would be put to better use for this proposal. </w:t>
      </w:r>
    </w:p>
    <w:p w14:paraId="0D89E916">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2711982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The 2017 appeal allowed the erection of a terrace of 4 no. two storey tourist units and this proposal will not offer as significant a visual impact and will also maintain and enhance the existing outbuildings which can only be of benefit to the character and appearance of the surrounding setting.</w:t>
      </w:r>
    </w:p>
    <w:p w14:paraId="196A5EE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75BEAC2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 xml:space="preserve">The proposed ancillary accommodation will be subordinate to the primary dwelling. It is intended to be used by adult family members and/or visiting guests and simply increases the number of bedrooms that the dwelling has. It perfectly fits the needs of a young, expanding family  </w:t>
      </w:r>
    </w:p>
    <w:p w14:paraId="2CB0B08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39E9046F">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 xml:space="preserve">The proposed carport will be of similar size and appearance to the existing outbuildings and is a perfectly acceptable addition for a dwelling of this type and size.  </w:t>
      </w:r>
    </w:p>
    <w:p w14:paraId="184BCAE7">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28BECCE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The proposal is perfectly acceptable for the tyep of setting and is not contrary to any policy.</w:t>
      </w:r>
    </w:p>
    <w:p w14:paraId="5DD1A07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p>
    <w:p w14:paraId="030085F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US" w:eastAsia="zh-CN" w:bidi="ar"/>
        </w:rPr>
        <w:t>Access</w:t>
      </w:r>
      <w:r>
        <w:rPr>
          <w:rFonts w:hint="default" w:ascii="Verdana" w:hAnsi="Verdana" w:eastAsia="SimSun" w:cs="Verdana"/>
          <w:color w:val="000000"/>
          <w:kern w:val="0"/>
          <w:sz w:val="20"/>
          <w:szCs w:val="20"/>
          <w:lang w:val="en-US" w:eastAsia="zh-CN" w:bidi="ar"/>
        </w:rPr>
        <w:t xml:space="preserve"> </w:t>
      </w:r>
    </w:p>
    <w:p w14:paraId="6F2FE23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6815A95">
      <w:pPr>
        <w:numPr>
          <w:ilvl w:val="0"/>
          <w:numId w:val="0"/>
        </w:numPr>
        <w:spacing w:line="240" w:lineRule="auto"/>
        <w:ind w:leftChars="0"/>
        <w:jc w:val="both"/>
        <w:rPr>
          <w:rFonts w:hint="default" w:ascii="Verdana" w:hAnsi="Verdana" w:cs="Verdana"/>
          <w:b w:val="0"/>
          <w:bCs w:val="0"/>
          <w:sz w:val="20"/>
          <w:szCs w:val="20"/>
          <w:u w:val="none"/>
          <w:lang w:val="en-GB"/>
        </w:rPr>
      </w:pPr>
      <w:r>
        <w:rPr>
          <w:rFonts w:hint="default" w:ascii="Verdana" w:hAnsi="Verdana" w:cs="Verdana"/>
          <w:b w:val="0"/>
          <w:bCs w:val="0"/>
          <w:sz w:val="20"/>
          <w:szCs w:val="20"/>
          <w:u w:val="none"/>
          <w:lang w:val="en-GB"/>
        </w:rPr>
        <w:t xml:space="preserve">The site is accessed directly from the B4042. The 2024 application for an improved access was approved by the LPA which can only be seen as a benefit. </w:t>
      </w:r>
    </w:p>
    <w:p w14:paraId="5D786BFE">
      <w:pPr>
        <w:numPr>
          <w:ilvl w:val="0"/>
          <w:numId w:val="0"/>
        </w:numPr>
        <w:spacing w:line="240" w:lineRule="auto"/>
        <w:ind w:leftChars="0"/>
        <w:jc w:val="both"/>
        <w:rPr>
          <w:rFonts w:hint="default" w:ascii="Verdana" w:hAnsi="Verdana" w:cs="Verdana"/>
          <w:b w:val="0"/>
          <w:bCs w:val="0"/>
          <w:sz w:val="20"/>
          <w:szCs w:val="20"/>
          <w:u w:val="none"/>
          <w:lang w:val="en-US" w:eastAsia="zh-CN"/>
        </w:rPr>
      </w:pPr>
      <w:r>
        <w:rPr>
          <w:rFonts w:hint="default" w:ascii="Verdana" w:hAnsi="Verdana" w:cs="Verdana"/>
          <w:b w:val="0"/>
          <w:bCs w:val="0"/>
          <w:sz w:val="20"/>
          <w:szCs w:val="20"/>
          <w:u w:val="none"/>
          <w:lang w:val="en-GB"/>
        </w:rPr>
        <w:t>However, the existing access is also adequate should it remain as there will be no increase in the amount of traffic movements to and from the site. There is no significant harm to any matters of highway safety, with respect to paragraph 113 of the NPPF.</w:t>
      </w:r>
    </w:p>
    <w:p w14:paraId="7D58BB0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US" w:eastAsia="zh-CN" w:bidi="ar"/>
        </w:rPr>
        <w:t>Planning Policy</w:t>
      </w:r>
      <w:r>
        <w:rPr>
          <w:rFonts w:hint="default" w:ascii="Verdana" w:hAnsi="Verdana" w:eastAsia="SimSun" w:cs="Verdana"/>
          <w:color w:val="000000"/>
          <w:kern w:val="0"/>
          <w:sz w:val="20"/>
          <w:szCs w:val="20"/>
          <w:lang w:val="en-US" w:eastAsia="zh-CN" w:bidi="ar"/>
        </w:rPr>
        <w:t xml:space="preserve"> </w:t>
      </w:r>
    </w:p>
    <w:p w14:paraId="74B0EC61">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3FBD18A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The development proposed for the site need</w:t>
      </w:r>
      <w:r>
        <w:rPr>
          <w:rFonts w:hint="default" w:ascii="Verdana" w:hAnsi="Verdana" w:eastAsia="SimSun" w:cs="Verdana"/>
          <w:color w:val="000000"/>
          <w:kern w:val="0"/>
          <w:sz w:val="20"/>
          <w:szCs w:val="20"/>
          <w:lang w:val="en-GB" w:eastAsia="zh-CN" w:bidi="ar"/>
        </w:rPr>
        <w:t>s</w:t>
      </w:r>
      <w:r>
        <w:rPr>
          <w:rFonts w:hint="default" w:ascii="Verdana" w:hAnsi="Verdana" w:eastAsia="SimSun" w:cs="Verdana"/>
          <w:color w:val="000000"/>
          <w:kern w:val="0"/>
          <w:sz w:val="20"/>
          <w:szCs w:val="20"/>
          <w:lang w:val="en-US" w:eastAsia="zh-CN" w:bidi="ar"/>
        </w:rPr>
        <w:t xml:space="preserve"> to take account of relevant national </w:t>
      </w:r>
      <w:r>
        <w:rPr>
          <w:rFonts w:hint="default" w:ascii="Verdana" w:hAnsi="Verdana" w:eastAsia="SimSun" w:cs="Verdana"/>
          <w:color w:val="000000"/>
          <w:kern w:val="0"/>
          <w:sz w:val="20"/>
          <w:szCs w:val="20"/>
          <w:lang w:val="en-GB" w:eastAsia="zh-CN" w:bidi="ar"/>
        </w:rPr>
        <w:t xml:space="preserve">and local </w:t>
      </w:r>
      <w:r>
        <w:rPr>
          <w:rFonts w:hint="default" w:ascii="Verdana" w:hAnsi="Verdana" w:eastAsia="SimSun" w:cs="Verdana"/>
          <w:color w:val="000000"/>
          <w:kern w:val="0"/>
          <w:sz w:val="20"/>
          <w:szCs w:val="20"/>
          <w:lang w:val="en-US" w:eastAsia="zh-CN" w:bidi="ar"/>
        </w:rPr>
        <w:t>planning policy</w:t>
      </w:r>
      <w:r>
        <w:rPr>
          <w:rFonts w:hint="default" w:ascii="Verdana" w:hAnsi="Verdana" w:eastAsia="SimSun" w:cs="Verdana"/>
          <w:color w:val="000000"/>
          <w:kern w:val="0"/>
          <w:sz w:val="20"/>
          <w:szCs w:val="20"/>
          <w:lang w:val="en-GB" w:eastAsia="zh-CN" w:bidi="ar"/>
        </w:rPr>
        <w:t xml:space="preserve"> guidance</w:t>
      </w:r>
      <w:r>
        <w:rPr>
          <w:rFonts w:hint="default" w:ascii="Verdana" w:hAnsi="Verdana" w:eastAsia="SimSun" w:cs="Verdana"/>
          <w:color w:val="000000"/>
          <w:kern w:val="0"/>
          <w:sz w:val="20"/>
          <w:szCs w:val="20"/>
          <w:lang w:val="en-US" w:eastAsia="zh-CN" w:bidi="ar"/>
        </w:rPr>
        <w:t xml:space="preserve">. This section of the design and access statement (covering letter) sets out a brief summary of the relevant planning policy documents, whilst the following section demonstrates compliance with these policies. </w:t>
      </w:r>
    </w:p>
    <w:p w14:paraId="51666444">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CC795C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US" w:eastAsia="zh-CN" w:bidi="ar"/>
        </w:rPr>
        <w:t xml:space="preserve">The National Planning Policy Framework (Updated </w:t>
      </w:r>
      <w:r>
        <w:rPr>
          <w:rFonts w:hint="default" w:ascii="Verdana" w:hAnsi="Verdana" w:eastAsia="SimSun" w:cs="Verdana"/>
          <w:b/>
          <w:bCs/>
          <w:color w:val="000000"/>
          <w:kern w:val="0"/>
          <w:sz w:val="20"/>
          <w:szCs w:val="20"/>
          <w:u w:val="single"/>
          <w:lang w:val="en-GB" w:eastAsia="zh-CN" w:bidi="ar"/>
        </w:rPr>
        <w:t xml:space="preserve">December </w:t>
      </w:r>
      <w:r>
        <w:rPr>
          <w:rFonts w:hint="default" w:ascii="Verdana" w:hAnsi="Verdana" w:eastAsia="SimSun" w:cs="Verdana"/>
          <w:b/>
          <w:bCs/>
          <w:color w:val="000000"/>
          <w:kern w:val="0"/>
          <w:sz w:val="20"/>
          <w:szCs w:val="20"/>
          <w:u w:val="single"/>
          <w:lang w:val="en-US" w:eastAsia="zh-CN" w:bidi="ar"/>
        </w:rPr>
        <w:t>202</w:t>
      </w:r>
      <w:r>
        <w:rPr>
          <w:rFonts w:hint="default" w:ascii="Verdana" w:hAnsi="Verdana" w:eastAsia="SimSun" w:cs="Verdana"/>
          <w:b/>
          <w:bCs/>
          <w:color w:val="000000"/>
          <w:kern w:val="0"/>
          <w:sz w:val="20"/>
          <w:szCs w:val="20"/>
          <w:u w:val="single"/>
          <w:lang w:val="en-GB" w:eastAsia="zh-CN" w:bidi="ar"/>
        </w:rPr>
        <w:t>4</w:t>
      </w:r>
      <w:r>
        <w:rPr>
          <w:rFonts w:hint="default" w:ascii="Verdana" w:hAnsi="Verdana" w:eastAsia="SimSun" w:cs="Verdana"/>
          <w:b/>
          <w:bCs/>
          <w:color w:val="000000"/>
          <w:kern w:val="0"/>
          <w:sz w:val="20"/>
          <w:szCs w:val="20"/>
          <w:u w:val="single"/>
          <w:lang w:val="en-US" w:eastAsia="zh-CN" w:bidi="ar"/>
        </w:rPr>
        <w:t>)</w:t>
      </w:r>
      <w:r>
        <w:rPr>
          <w:rFonts w:hint="default" w:ascii="Verdana" w:hAnsi="Verdana" w:eastAsia="SimSun" w:cs="Verdana"/>
          <w:color w:val="000000"/>
          <w:kern w:val="0"/>
          <w:sz w:val="20"/>
          <w:szCs w:val="20"/>
          <w:lang w:val="en-US" w:eastAsia="zh-CN" w:bidi="ar"/>
        </w:rPr>
        <w:t xml:space="preserve"> </w:t>
      </w:r>
    </w:p>
    <w:p w14:paraId="7028AB2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29E506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The NPPF is clear that the purpose of the planning system is to encourage local planning authorities to support sustainable development (which is achieved through securing various interdependent economic, social and environmental objectives). So that sustainable development is pursued in a positive way, at the heart of the framework is a presumption in favour of sustainable development. For decision-taking this means approving development proposals that accord with an up-to-date Development Plan without delay. </w:t>
      </w:r>
    </w:p>
    <w:p w14:paraId="2C172B4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2FD9813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Paragraph 11 identifies that planning should presume in favour of sustainable development. </w:t>
      </w:r>
    </w:p>
    <w:p w14:paraId="2B5CB80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lang w:val="en-US" w:eastAsia="zh-CN" w:bidi="ar"/>
        </w:rPr>
      </w:pPr>
    </w:p>
    <w:p w14:paraId="7170D39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r>
        <w:rPr>
          <w:rFonts w:hint="default" w:ascii="Verdana" w:hAnsi="Verdana" w:eastAsia="SimSun" w:cs="Verdana"/>
          <w:b/>
          <w:bCs/>
          <w:i/>
          <w:iCs/>
          <w:color w:val="000000"/>
          <w:kern w:val="0"/>
          <w:sz w:val="20"/>
          <w:szCs w:val="20"/>
          <w:lang w:val="en-US" w:eastAsia="zh-CN" w:bidi="ar"/>
        </w:rPr>
        <w:t xml:space="preserve">“All plans should promote a sustainable pattern of development that seeks to: meet the development needs of their area; align growth and infrastructure; improve the environment; mitigate climate change (including by making effective use of land in urban areas) and adapt to it’s effects.” </w:t>
      </w:r>
    </w:p>
    <w:p w14:paraId="13644CB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4C6EF66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Paragraph 38 requires that decision makers: </w:t>
      </w:r>
    </w:p>
    <w:p w14:paraId="255FC7B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0F930BA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u w:val="none"/>
          <w:lang w:val="en-US" w:eastAsia="zh-CN" w:bidi="ar"/>
        </w:rPr>
      </w:pPr>
      <w:r>
        <w:rPr>
          <w:rFonts w:hint="default" w:ascii="Verdana" w:hAnsi="Verdana" w:eastAsia="SimSun" w:cs="Verdana"/>
          <w:b/>
          <w:bCs/>
          <w:i/>
          <w:iCs/>
          <w:color w:val="000000"/>
          <w:kern w:val="0"/>
          <w:sz w:val="20"/>
          <w:szCs w:val="20"/>
          <w:u w:val="none"/>
          <w:lang w:val="en-US" w:eastAsia="zh-CN" w:bidi="ar"/>
        </w:rPr>
        <w:t xml:space="preserve">“Should approach decisions on proposed development in a positive and creative way; Work proactively with applicants to secure development that will improve the economic, social and environmental conditions of the area; and, Seek to approve applications for sustainable development where possible’’. </w:t>
      </w:r>
    </w:p>
    <w:p w14:paraId="5F69703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73FAC98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Paragraph 47 Determining applications:</w:t>
      </w:r>
    </w:p>
    <w:p w14:paraId="0D5B9E6A">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48DB28E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i/>
          <w:iCs/>
          <w:color w:val="000000"/>
          <w:kern w:val="0"/>
          <w:sz w:val="20"/>
          <w:szCs w:val="20"/>
          <w:lang w:val="en-US" w:eastAsia="zh-CN" w:bidi="ar"/>
        </w:rPr>
      </w:pPr>
      <w:r>
        <w:rPr>
          <w:rFonts w:hint="default" w:ascii="Verdana" w:hAnsi="Verdana" w:eastAsia="SimSun" w:cs="Verdana"/>
          <w:b/>
          <w:bCs/>
          <w:i/>
          <w:iCs/>
          <w:color w:val="000000"/>
          <w:kern w:val="0"/>
          <w:sz w:val="20"/>
          <w:szCs w:val="20"/>
          <w:lang w:val="en-US" w:eastAsia="zh-CN" w:bidi="ar"/>
        </w:rPr>
        <w:t xml:space="preserve">“Planning law requires that applications for planning permission be determined in accordance with the development plan, unless material considerations indicate otherwise. Decisions on applications should be made as quickly as possible, and within the statutory time scales unless a longer period has been agreed by the applicant in writing.” </w:t>
      </w:r>
    </w:p>
    <w:p w14:paraId="1F7038A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3FBC453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cs="Verdana"/>
          <w:sz w:val="20"/>
          <w:szCs w:val="20"/>
        </w:rPr>
      </w:pPr>
      <w:r>
        <w:rPr>
          <w:rFonts w:hint="default" w:ascii="Verdana" w:hAnsi="Verdana" w:eastAsia="SimSun" w:cs="Verdana"/>
          <w:color w:val="000000"/>
          <w:kern w:val="0"/>
          <w:sz w:val="20"/>
          <w:szCs w:val="20"/>
          <w:lang w:val="en-US" w:eastAsia="zh-CN" w:bidi="ar"/>
        </w:rPr>
        <w:t xml:space="preserve">Comment: This application will be made in accordance with the NPPF. </w:t>
      </w:r>
    </w:p>
    <w:p w14:paraId="09E7BA2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 </w:t>
      </w:r>
    </w:p>
    <w:p w14:paraId="5F8EC35B">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The NPPF expects planning policies to conserve and enhance the national environments and to protect them from harm. All local authorities have a duty under Section 40 of the Natural Environment and Rural Communities Act 2005 to have regard to the conservation of biodiversity in exercising all their functions. The duty aims to make biodiversity consideration an integral part of policy and decision making. </w:t>
      </w:r>
    </w:p>
    <w:p w14:paraId="6BD26BB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2EEC424C">
      <w:pPr>
        <w:numPr>
          <w:ilvl w:val="0"/>
          <w:numId w:val="0"/>
        </w:numPr>
        <w:spacing w:line="240" w:lineRule="auto"/>
        <w:ind w:leftChars="0"/>
        <w:jc w:val="both"/>
        <w:rPr>
          <w:rFonts w:hint="default" w:ascii="Verdana" w:hAnsi="Verdana" w:cs="Verdana"/>
          <w:b/>
          <w:bCs/>
          <w:i w:val="0"/>
          <w:iCs w:val="0"/>
          <w:sz w:val="20"/>
          <w:szCs w:val="20"/>
          <w:highlight w:val="none"/>
          <w:u w:val="single"/>
          <w:lang w:val="en-GB"/>
        </w:rPr>
      </w:pPr>
      <w:r>
        <w:rPr>
          <w:rFonts w:hint="default" w:ascii="Verdana" w:hAnsi="Verdana" w:cs="Verdana"/>
          <w:b/>
          <w:bCs/>
          <w:i w:val="0"/>
          <w:iCs w:val="0"/>
          <w:sz w:val="20"/>
          <w:szCs w:val="20"/>
          <w:highlight w:val="none"/>
          <w:u w:val="single"/>
          <w:vertAlign w:val="baseline"/>
          <w:lang w:val="en-GB"/>
        </w:rPr>
        <w:t xml:space="preserve">Local Plan - </w:t>
      </w:r>
      <w:r>
        <w:rPr>
          <w:rFonts w:hint="default" w:ascii="Verdana" w:hAnsi="Verdana" w:cs="Verdana"/>
          <w:b/>
          <w:bCs/>
          <w:i w:val="0"/>
          <w:iCs w:val="0"/>
          <w:sz w:val="20"/>
          <w:szCs w:val="20"/>
          <w:highlight w:val="none"/>
          <w:u w:val="single"/>
          <w:lang w:val="en-GB"/>
        </w:rPr>
        <w:t>Wiltshire Core Strategy</w:t>
      </w:r>
    </w:p>
    <w:p w14:paraId="6AD32F9A">
      <w:pPr>
        <w:numPr>
          <w:ilvl w:val="0"/>
          <w:numId w:val="0"/>
        </w:numPr>
        <w:spacing w:line="240" w:lineRule="auto"/>
        <w:ind w:leftChars="0"/>
        <w:jc w:val="both"/>
        <w:rPr>
          <w:rFonts w:hint="default" w:ascii="Verdana" w:hAnsi="Verdana" w:cs="Verdana"/>
          <w:i w:val="0"/>
          <w:iCs w:val="0"/>
          <w:sz w:val="20"/>
          <w:szCs w:val="20"/>
          <w:u w:val="single"/>
          <w:lang w:val="en-GB"/>
        </w:rPr>
      </w:pPr>
      <w:r>
        <w:rPr>
          <w:rFonts w:hint="default" w:ascii="Verdana" w:hAnsi="Verdana" w:cs="Verdana"/>
          <w:i w:val="0"/>
          <w:iCs w:val="0"/>
          <w:sz w:val="20"/>
          <w:szCs w:val="20"/>
          <w:u w:val="none"/>
          <w:lang w:val="en-GB"/>
        </w:rPr>
        <w:t xml:space="preserve">The application site is situated within the open countryside. CP51 states development should protect, conserve and where possible enhance character and any negative impacts must be mitigated through sensible design and landscape measures. </w:t>
      </w:r>
      <w:r>
        <w:rPr>
          <w:rFonts w:hint="default" w:ascii="Verdana" w:hAnsi="Verdana" w:cs="Verdana"/>
          <w:b w:val="0"/>
          <w:bCs w:val="0"/>
          <w:i w:val="0"/>
          <w:iCs w:val="0"/>
          <w:sz w:val="20"/>
          <w:szCs w:val="20"/>
          <w:u w:val="none"/>
          <w:lang w:val="en-GB"/>
        </w:rPr>
        <w:t>Core Policy 51 states:</w:t>
      </w:r>
    </w:p>
    <w:p w14:paraId="6BF3CDFD">
      <w:pPr>
        <w:numPr>
          <w:ilvl w:val="0"/>
          <w:numId w:val="0"/>
        </w:numPr>
        <w:spacing w:line="240" w:lineRule="auto"/>
        <w:jc w:val="both"/>
        <w:rPr>
          <w:rFonts w:hint="default" w:ascii="Verdana" w:hAnsi="Verdana" w:cs="Verdana"/>
          <w:b/>
          <w:bCs/>
          <w:i/>
          <w:iCs/>
          <w:sz w:val="20"/>
          <w:szCs w:val="20"/>
          <w:u w:val="none"/>
          <w:lang w:val="en-GB"/>
        </w:rPr>
      </w:pPr>
      <w:r>
        <w:rPr>
          <w:rFonts w:hint="default" w:ascii="Verdana" w:hAnsi="Verdana" w:cs="Verdana"/>
          <w:b/>
          <w:bCs/>
          <w:i/>
          <w:iCs/>
          <w:sz w:val="20"/>
          <w:szCs w:val="20"/>
          <w:u w:val="single"/>
          <w:lang w:val="en-GB"/>
        </w:rPr>
        <w:t>Core Policy 51: Landscape</w:t>
      </w:r>
    </w:p>
    <w:p w14:paraId="147A75B9">
      <w:pPr>
        <w:spacing w:line="240" w:lineRule="auto"/>
        <w:jc w:val="both"/>
        <w:rPr>
          <w:rFonts w:hint="default" w:ascii="Verdana" w:hAnsi="Verdana" w:cs="Verdana"/>
          <w:b/>
          <w:bCs/>
          <w:i/>
          <w:iCs/>
          <w:sz w:val="20"/>
          <w:szCs w:val="20"/>
          <w:u w:val="none"/>
          <w:lang w:val="en-GB"/>
        </w:rPr>
      </w:pPr>
      <w:r>
        <w:rPr>
          <w:rFonts w:hint="default" w:ascii="Verdana" w:hAnsi="Verdana" w:cs="Verdana"/>
          <w:b/>
          <w:bCs/>
          <w:i/>
          <w:iCs/>
          <w:sz w:val="20"/>
          <w:szCs w:val="20"/>
          <w:u w:val="none"/>
          <w:lang w:val="en-GB"/>
        </w:rPr>
        <w:t>Development is required to protect, conserve and where possible enhance landscape character and must not have a harmful impact upon landscape character, while any negative impacts must be mitigated as far as possible through sensitive design and landscape measures. Proposals should be informed by and sympathetic to the distinctive character areas identified in the relevant Landscape Character Assessments and any other relevant assessments and studies. In particular, proposals will need to demonstrate that the following aspects of landscape character have been conserved and where possible enhanced through sensitive design, landscape mitigation and enhancement measures:</w:t>
      </w:r>
    </w:p>
    <w:p w14:paraId="762BC752">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rPr>
      </w:pPr>
      <w:r>
        <w:rPr>
          <w:rFonts w:hint="default" w:ascii="Verdana" w:hAnsi="Verdana" w:cs="Verdana"/>
          <w:i w:val="0"/>
          <w:iCs w:val="0"/>
          <w:sz w:val="20"/>
          <w:szCs w:val="20"/>
          <w:u w:val="none"/>
          <w:lang w:val="en-GB"/>
        </w:rPr>
        <w:t xml:space="preserve">The development has no significant impact on the rural landscape character of </w:t>
      </w:r>
      <w:r>
        <w:rPr>
          <w:rFonts w:hint="default" w:ascii="Verdana" w:hAnsi="Verdana" w:cs="Verdana"/>
          <w:b w:val="0"/>
          <w:bCs w:val="0"/>
          <w:i w:val="0"/>
          <w:iCs w:val="0"/>
          <w:sz w:val="20"/>
          <w:szCs w:val="20"/>
          <w:u w:val="none"/>
          <w:lang w:val="en-GB"/>
        </w:rPr>
        <w:t xml:space="preserve">the area. </w:t>
      </w:r>
      <w:r>
        <w:rPr>
          <w:rFonts w:hint="default" w:ascii="Verdana" w:hAnsi="Verdana" w:cs="Verdana"/>
          <w:sz w:val="20"/>
          <w:szCs w:val="20"/>
          <w:u w:val="none"/>
          <w:lang w:val="en-GB"/>
        </w:rPr>
        <w:t xml:space="preserve">The scheme will also compliment the existing character of the area. </w:t>
      </w:r>
    </w:p>
    <w:p w14:paraId="2BF74A91">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rPr>
      </w:pPr>
      <w:r>
        <w:rPr>
          <w:rFonts w:hint="default" w:ascii="Verdana" w:hAnsi="Verdana" w:cs="Verdana"/>
          <w:sz w:val="20"/>
          <w:szCs w:val="20"/>
          <w:u w:val="none"/>
          <w:vertAlign w:val="baseline"/>
          <w:lang w:val="en-GB"/>
        </w:rPr>
        <w:t xml:space="preserve">The development respects the existing scale of the buildings nearby. Therefore, the proposal responds positively to the current layout, scale and design of the nearby buildings. </w:t>
      </w:r>
    </w:p>
    <w:p w14:paraId="2A09D21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u w:val="none"/>
          <w:vertAlign w:val="baseline"/>
          <w:lang w:val="en-GB"/>
        </w:rPr>
      </w:pPr>
      <w:r>
        <w:rPr>
          <w:rFonts w:hint="default" w:ascii="Verdana" w:hAnsi="Verdana" w:cs="Verdana"/>
          <w:sz w:val="20"/>
          <w:szCs w:val="20"/>
          <w:u w:val="none"/>
          <w:vertAlign w:val="baseline"/>
          <w:lang w:val="en-GB"/>
        </w:rPr>
        <w:t>The development is considered to respond positively to the natural environment, it conserves the natural features of its surroundings, and thus provides high quality development which complements the local distinctiveness of the area.</w:t>
      </w:r>
    </w:p>
    <w:p w14:paraId="704C1C0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u w:val="none"/>
          <w:vertAlign w:val="baseline"/>
          <w:lang w:val="en-GB"/>
        </w:rPr>
      </w:pPr>
    </w:p>
    <w:p w14:paraId="3EADED6E">
      <w:pPr>
        <w:numPr>
          <w:ilvl w:val="0"/>
          <w:numId w:val="0"/>
        </w:numPr>
        <w:tabs>
          <w:tab w:val="left" w:pos="420"/>
        </w:tabs>
        <w:spacing w:line="240" w:lineRule="auto"/>
        <w:ind w:leftChars="0"/>
        <w:jc w:val="both"/>
        <w:rPr>
          <w:rFonts w:hint="default" w:ascii="Verdana" w:hAnsi="Verdana" w:cs="Verdana"/>
          <w:b/>
          <w:bCs/>
          <w:sz w:val="20"/>
          <w:szCs w:val="20"/>
          <w:u w:val="single"/>
          <w:vertAlign w:val="baseline"/>
          <w:lang w:val="en-GB"/>
        </w:rPr>
      </w:pPr>
      <w:r>
        <w:rPr>
          <w:rFonts w:hint="default" w:ascii="Verdana" w:hAnsi="Verdana" w:cs="Verdana"/>
          <w:b/>
          <w:bCs/>
          <w:sz w:val="20"/>
          <w:szCs w:val="20"/>
          <w:u w:val="single"/>
          <w:vertAlign w:val="baseline"/>
          <w:lang w:val="en-GB"/>
        </w:rPr>
        <w:t>Residential Amenity</w:t>
      </w:r>
    </w:p>
    <w:p w14:paraId="64056170">
      <w:pPr>
        <w:numPr>
          <w:ilvl w:val="0"/>
          <w:numId w:val="0"/>
        </w:numPr>
        <w:tabs>
          <w:tab w:val="left" w:pos="420"/>
        </w:tabs>
        <w:spacing w:line="240" w:lineRule="auto"/>
        <w:ind w:leftChars="0"/>
        <w:jc w:val="both"/>
        <w:rPr>
          <w:rFonts w:hint="default" w:ascii="Verdana" w:hAnsi="Verdana" w:cs="Verdana"/>
          <w:sz w:val="20"/>
          <w:szCs w:val="20"/>
          <w:u w:val="none"/>
          <w:vertAlign w:val="baseline"/>
          <w:lang w:val="en-GB" w:eastAsia="zh-CN"/>
        </w:rPr>
      </w:pPr>
      <w:r>
        <w:rPr>
          <w:rFonts w:hint="default" w:ascii="Verdana" w:hAnsi="Verdana" w:cs="Verdana"/>
          <w:sz w:val="20"/>
          <w:szCs w:val="20"/>
          <w:u w:val="none"/>
          <w:vertAlign w:val="baseline"/>
          <w:lang w:val="en-GB"/>
        </w:rPr>
        <w:t>There is nothing to suggest that the proposal will have any significant adverse impact on host dwellings. As a reminder, 4 no. toursist units have previously been approved at the site which would have a far greater negative impact on residential amenity than this scheme.</w:t>
      </w:r>
    </w:p>
    <w:p w14:paraId="6D25D925">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b/>
          <w:bCs/>
          <w:color w:val="000000"/>
          <w:kern w:val="0"/>
          <w:sz w:val="20"/>
          <w:szCs w:val="20"/>
          <w:u w:val="single"/>
          <w:lang w:val="en-US" w:eastAsia="zh-CN" w:bidi="ar"/>
        </w:rPr>
      </w:pPr>
      <w:r>
        <w:rPr>
          <w:rFonts w:hint="default" w:ascii="Verdana" w:hAnsi="Verdana" w:eastAsia="SimSun" w:cs="Verdana"/>
          <w:b/>
          <w:bCs/>
          <w:color w:val="000000"/>
          <w:kern w:val="0"/>
          <w:sz w:val="20"/>
          <w:szCs w:val="20"/>
          <w:u w:val="single"/>
          <w:lang w:val="en-US" w:eastAsia="zh-CN" w:bidi="ar"/>
        </w:rPr>
        <w:t xml:space="preserve">Flood risk </w:t>
      </w:r>
    </w:p>
    <w:p w14:paraId="50CA1EB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b/>
          <w:bCs/>
          <w:color w:val="000000"/>
          <w:kern w:val="0"/>
          <w:sz w:val="20"/>
          <w:szCs w:val="20"/>
          <w:u w:val="single"/>
          <w:lang w:val="en-US" w:eastAsia="zh-CN" w:bidi="ar"/>
        </w:rPr>
      </w:pPr>
    </w:p>
    <w:p w14:paraId="11DCF1C5">
      <w:pPr>
        <w:numPr>
          <w:ilvl w:val="0"/>
          <w:numId w:val="0"/>
        </w:numPr>
        <w:spacing w:line="240" w:lineRule="auto"/>
        <w:ind w:leftChars="0"/>
        <w:jc w:val="both"/>
        <w:rPr>
          <w:rFonts w:hint="default" w:ascii="Verdana" w:hAnsi="Verdana" w:cs="Verdana"/>
          <w:sz w:val="20"/>
          <w:szCs w:val="20"/>
          <w:u w:val="none"/>
          <w:lang w:val="en-GB"/>
        </w:rPr>
      </w:pPr>
      <w:r>
        <w:rPr>
          <w:rFonts w:hint="default" w:ascii="Verdana" w:hAnsi="Verdana" w:cs="Verdana"/>
          <w:sz w:val="20"/>
          <w:szCs w:val="20"/>
          <w:u w:val="none"/>
          <w:lang w:val="en-GB"/>
        </w:rPr>
        <w:t>The EA’s flood maps shows that the site lies within Flood Zone 1. The NPPF Technical Guidance defines these Flood Zones as:</w:t>
      </w:r>
    </w:p>
    <w:p w14:paraId="1E85974F">
      <w:pPr>
        <w:numPr>
          <w:ilvl w:val="0"/>
          <w:numId w:val="0"/>
        </w:numPr>
        <w:spacing w:line="240" w:lineRule="auto"/>
        <w:jc w:val="both"/>
        <w:rPr>
          <w:rFonts w:hint="default" w:ascii="Verdana" w:hAnsi="Verdana" w:cs="Verdana"/>
          <w:sz w:val="20"/>
          <w:szCs w:val="20"/>
        </w:rPr>
      </w:pPr>
      <w:r>
        <w:rPr>
          <w:rFonts w:hint="default" w:ascii="Verdana" w:hAnsi="Verdana" w:cs="Verdana"/>
          <w:b/>
          <w:bCs/>
          <w:i/>
          <w:iCs/>
          <w:sz w:val="20"/>
          <w:szCs w:val="20"/>
          <w:u w:val="none"/>
          <w:lang w:val="en-GB"/>
        </w:rPr>
        <w:t>“Land having a less in 1 in 1,000 annual probability of river or sea flooding.”</w:t>
      </w:r>
      <w:r>
        <w:rPr>
          <w:rFonts w:hint="default" w:ascii="Verdana" w:hAnsi="Verdana" w:eastAsia="SimSun" w:cs="Verdana"/>
          <w:color w:val="000000"/>
          <w:kern w:val="0"/>
          <w:sz w:val="20"/>
          <w:szCs w:val="20"/>
          <w:lang w:val="en-US" w:eastAsia="zh-CN" w:bidi="ar"/>
        </w:rPr>
        <w:t xml:space="preserve"> </w:t>
      </w:r>
    </w:p>
    <w:p w14:paraId="52DE9A1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US" w:eastAsia="zh-CN" w:bidi="ar"/>
        </w:rPr>
        <w:t>Drainage</w:t>
      </w:r>
      <w:r>
        <w:rPr>
          <w:rFonts w:hint="default" w:ascii="Verdana" w:hAnsi="Verdana" w:eastAsia="SimSun" w:cs="Verdana"/>
          <w:color w:val="000000"/>
          <w:kern w:val="0"/>
          <w:sz w:val="20"/>
          <w:szCs w:val="20"/>
          <w:lang w:val="en-US" w:eastAsia="zh-CN" w:bidi="ar"/>
        </w:rPr>
        <w:t xml:space="preserve"> </w:t>
      </w:r>
    </w:p>
    <w:p w14:paraId="6923616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p>
    <w:p w14:paraId="7D733DF1">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US" w:eastAsia="zh-CN" w:bidi="ar"/>
        </w:rPr>
        <w:t xml:space="preserve">The </w:t>
      </w:r>
      <w:r>
        <w:rPr>
          <w:rFonts w:hint="default" w:ascii="Verdana" w:hAnsi="Verdana" w:eastAsia="SimSun" w:cs="Verdana"/>
          <w:color w:val="000000"/>
          <w:kern w:val="0"/>
          <w:sz w:val="20"/>
          <w:szCs w:val="20"/>
          <w:lang w:val="en-GB" w:eastAsia="zh-CN" w:bidi="ar"/>
        </w:rPr>
        <w:t xml:space="preserve">development will not result in any </w:t>
      </w:r>
      <w:r>
        <w:rPr>
          <w:rFonts w:hint="default" w:ascii="Verdana" w:hAnsi="Verdana" w:eastAsia="SimSun" w:cs="Verdana"/>
          <w:color w:val="000000"/>
          <w:kern w:val="0"/>
          <w:sz w:val="20"/>
          <w:szCs w:val="20"/>
          <w:lang w:val="en-US" w:eastAsia="zh-CN" w:bidi="ar"/>
        </w:rPr>
        <w:t>increased surface water run off</w:t>
      </w:r>
      <w:r>
        <w:rPr>
          <w:rFonts w:hint="default" w:ascii="Verdana" w:hAnsi="Verdana" w:eastAsia="SimSun" w:cs="Verdana"/>
          <w:color w:val="000000"/>
          <w:kern w:val="0"/>
          <w:sz w:val="20"/>
          <w:szCs w:val="20"/>
          <w:lang w:val="en-GB" w:eastAsia="zh-CN" w:bidi="ar"/>
        </w:rPr>
        <w:t>.</w:t>
      </w:r>
    </w:p>
    <w:p w14:paraId="59F3373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4A9B33AC">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b/>
          <w:bCs/>
          <w:color w:val="000000"/>
          <w:kern w:val="0"/>
          <w:sz w:val="20"/>
          <w:szCs w:val="20"/>
          <w:u w:val="single"/>
          <w:lang w:val="en-US" w:eastAsia="zh-CN" w:bidi="ar"/>
        </w:rPr>
      </w:pPr>
      <w:r>
        <w:rPr>
          <w:rFonts w:hint="default" w:ascii="Verdana" w:hAnsi="Verdana" w:eastAsia="SimSun" w:cs="Verdana"/>
          <w:b/>
          <w:bCs/>
          <w:color w:val="000000"/>
          <w:kern w:val="0"/>
          <w:sz w:val="20"/>
          <w:szCs w:val="20"/>
          <w:u w:val="single"/>
          <w:lang w:val="en-US" w:eastAsia="zh-CN" w:bidi="ar"/>
        </w:rPr>
        <w:t>Public Footpath</w:t>
      </w:r>
    </w:p>
    <w:p w14:paraId="357EA7AA">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cs="Verdana"/>
          <w:sz w:val="20"/>
          <w:szCs w:val="20"/>
        </w:rPr>
      </w:pPr>
      <w:r>
        <w:rPr>
          <w:rFonts w:hint="default" w:ascii="Verdana" w:hAnsi="Verdana" w:eastAsia="SimSun" w:cs="Verdana"/>
          <w:color w:val="000000"/>
          <w:kern w:val="0"/>
          <w:sz w:val="20"/>
          <w:szCs w:val="20"/>
          <w:lang w:val="en-US" w:eastAsia="zh-CN" w:bidi="ar"/>
        </w:rPr>
        <w:t xml:space="preserve"> </w:t>
      </w:r>
    </w:p>
    <w:p w14:paraId="1611467D">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There are</w:t>
      </w:r>
      <w:r>
        <w:rPr>
          <w:rFonts w:hint="default" w:ascii="Verdana" w:hAnsi="Verdana" w:eastAsia="SimSun" w:cs="Verdana"/>
          <w:color w:val="000000"/>
          <w:kern w:val="0"/>
          <w:sz w:val="20"/>
          <w:szCs w:val="20"/>
          <w:lang w:val="en-GB" w:eastAsia="zh-CN" w:bidi="ar"/>
        </w:rPr>
        <w:t xml:space="preserve"> no</w:t>
      </w:r>
      <w:r>
        <w:rPr>
          <w:rFonts w:hint="default" w:ascii="Verdana" w:hAnsi="Verdana" w:eastAsia="SimSun" w:cs="Verdana"/>
          <w:color w:val="000000"/>
          <w:kern w:val="0"/>
          <w:sz w:val="20"/>
          <w:szCs w:val="20"/>
          <w:lang w:val="en-US" w:eastAsia="zh-CN" w:bidi="ar"/>
        </w:rPr>
        <w:t xml:space="preserve"> public footpaths crossing the </w:t>
      </w:r>
      <w:r>
        <w:rPr>
          <w:rFonts w:hint="default" w:ascii="Verdana" w:hAnsi="Verdana" w:eastAsia="SimSun" w:cs="Verdana"/>
          <w:color w:val="000000"/>
          <w:kern w:val="0"/>
          <w:sz w:val="20"/>
          <w:szCs w:val="20"/>
          <w:lang w:val="en-GB" w:eastAsia="zh-CN" w:bidi="ar"/>
        </w:rPr>
        <w:t>site</w:t>
      </w:r>
      <w:r>
        <w:rPr>
          <w:rFonts w:hint="default" w:ascii="Verdana" w:hAnsi="Verdana" w:eastAsia="SimSun" w:cs="Verdana"/>
          <w:color w:val="000000"/>
          <w:kern w:val="0"/>
          <w:sz w:val="20"/>
          <w:szCs w:val="20"/>
          <w:lang w:val="en-US" w:eastAsia="zh-CN" w:bidi="ar"/>
        </w:rPr>
        <w:t xml:space="preserve">. </w:t>
      </w:r>
    </w:p>
    <w:p w14:paraId="6C8C26F5">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3355EEC2">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b/>
          <w:bCs/>
          <w:color w:val="000000"/>
          <w:kern w:val="0"/>
          <w:sz w:val="20"/>
          <w:szCs w:val="20"/>
          <w:u w:val="single"/>
          <w:lang w:val="en-US" w:eastAsia="zh-CN" w:bidi="ar"/>
        </w:rPr>
        <w:t>Concluding Remarks</w:t>
      </w:r>
      <w:r>
        <w:rPr>
          <w:rFonts w:hint="default" w:ascii="Verdana" w:hAnsi="Verdana" w:eastAsia="SimSun" w:cs="Verdana"/>
          <w:color w:val="000000"/>
          <w:kern w:val="0"/>
          <w:sz w:val="20"/>
          <w:szCs w:val="20"/>
          <w:lang w:val="en-US" w:eastAsia="zh-CN" w:bidi="ar"/>
        </w:rPr>
        <w:t xml:space="preserve"> </w:t>
      </w:r>
    </w:p>
    <w:p w14:paraId="3E98F2C3">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27030948">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This development is in keeping with national and local planning policy. This</w:t>
      </w:r>
      <w:r>
        <w:rPr>
          <w:rFonts w:hint="default" w:ascii="Verdana" w:hAnsi="Verdana" w:eastAsia="SimSun" w:cs="Verdana"/>
          <w:color w:val="000000"/>
          <w:kern w:val="0"/>
          <w:sz w:val="20"/>
          <w:szCs w:val="20"/>
          <w:lang w:val="en-GB" w:eastAsia="zh-CN" w:bidi="ar"/>
        </w:rPr>
        <w:t xml:space="preserve"> proposed</w:t>
      </w:r>
      <w:r>
        <w:rPr>
          <w:rFonts w:hint="default" w:ascii="Verdana" w:hAnsi="Verdana" w:eastAsia="SimSun" w:cs="Verdana"/>
          <w:color w:val="000000"/>
          <w:kern w:val="0"/>
          <w:sz w:val="20"/>
          <w:szCs w:val="20"/>
          <w:lang w:val="en-US" w:eastAsia="zh-CN" w:bidi="ar"/>
        </w:rPr>
        <w:t xml:space="preserve"> development should therefore be supported. </w:t>
      </w:r>
    </w:p>
    <w:p w14:paraId="22B09A84">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p>
    <w:p w14:paraId="566CF0D0">
      <w:pPr>
        <w:keepNext w:val="0"/>
        <w:keepLines w:val="0"/>
        <w:pageBreakBefore w:val="0"/>
        <w:widowControl/>
        <w:suppressLineNumbers w:val="0"/>
        <w:kinsoku/>
        <w:wordWrap/>
        <w:overflowPunct/>
        <w:topLinePunct w:val="0"/>
        <w:autoSpaceDE/>
        <w:autoSpaceDN/>
        <w:bidi w:val="0"/>
        <w:adjustRightInd/>
        <w:snapToGrid/>
        <w:spacing w:after="0" w:line="240" w:lineRule="auto"/>
        <w:jc w:val="both"/>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Please do not hesitate to get in contact with me if you require any further information or require any clarification. We look forward to hearing the outcome of this proposal.</w:t>
      </w:r>
    </w:p>
    <w:p w14:paraId="6DB6FC73">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US" w:eastAsia="zh-CN" w:bidi="ar"/>
        </w:rPr>
      </w:pPr>
      <w:r>
        <w:rPr>
          <w:rFonts w:hint="default" w:ascii="Verdana" w:hAnsi="Verdana" w:eastAsia="SimSun" w:cs="Verdana"/>
          <w:color w:val="000000"/>
          <w:kern w:val="0"/>
          <w:sz w:val="20"/>
          <w:szCs w:val="20"/>
          <w:lang w:val="en-US" w:eastAsia="zh-CN" w:bidi="ar"/>
        </w:rPr>
        <w:t xml:space="preserve"> </w:t>
      </w:r>
    </w:p>
    <w:p w14:paraId="2D1B66C0">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Yours faithfully,</w:t>
      </w:r>
    </w:p>
    <w:p w14:paraId="73E27F6F">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25FACDB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573997E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5A802F5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p>
    <w:p w14:paraId="61CA06D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auto"/>
        <w:rPr>
          <w:rFonts w:hint="default" w:ascii="Verdana" w:hAnsi="Verdana" w:eastAsia="SimSun" w:cs="Verdana"/>
          <w:color w:val="000000"/>
          <w:kern w:val="0"/>
          <w:sz w:val="20"/>
          <w:szCs w:val="20"/>
          <w:lang w:val="en-GB" w:eastAsia="zh-CN" w:bidi="ar"/>
        </w:rPr>
      </w:pPr>
      <w:r>
        <w:rPr>
          <w:rFonts w:hint="default" w:ascii="Verdana" w:hAnsi="Verdana" w:eastAsia="SimSun" w:cs="Verdana"/>
          <w:color w:val="000000"/>
          <w:kern w:val="0"/>
          <w:sz w:val="20"/>
          <w:szCs w:val="20"/>
          <w:lang w:val="en-GB" w:eastAsia="zh-CN" w:bidi="ar"/>
        </w:rPr>
        <w:t>Marc D. Willis BTP MRTPI FBIAC</w:t>
      </w:r>
    </w:p>
    <w:sectPr>
      <w:headerReference r:id="rId5" w:type="default"/>
      <w:pgSz w:w="11906" w:h="16838"/>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Verdana">
    <w:panose1 w:val="020B0604030504040204"/>
    <w:charset w:val="00"/>
    <w:family w:val="swiss"/>
    <w:pitch w:val="default"/>
    <w:sig w:usb0="A00006FF" w:usb1="4000205B" w:usb2="00000010" w:usb3="00000000" w:csb0="2000019F" w:csb1="00000000"/>
  </w:font>
  <w:font w:name="Microsoft YaHei">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0" w:lineRule="auto"/>
      </w:pPr>
      <w:r>
        <w:separator/>
      </w:r>
    </w:p>
  </w:footnote>
  <w:footnote w:type="continuationSeparator" w:id="1">
    <w:p>
      <w:pPr>
        <w:spacing w:before="0" w:after="0" w:line="2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96AFE">
    <w:pPr>
      <w:pStyle w:val="5"/>
      <w:spacing w:line="14" w:lineRule="auto"/>
      <w:ind w:left="0"/>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02AC"/>
    <w:rsid w:val="00092C1D"/>
    <w:rsid w:val="00174190"/>
    <w:rsid w:val="001C0359"/>
    <w:rsid w:val="001E2A6E"/>
    <w:rsid w:val="00207FF1"/>
    <w:rsid w:val="002152A6"/>
    <w:rsid w:val="002421FA"/>
    <w:rsid w:val="002C2933"/>
    <w:rsid w:val="00312C24"/>
    <w:rsid w:val="003621BF"/>
    <w:rsid w:val="003D02AC"/>
    <w:rsid w:val="004813EB"/>
    <w:rsid w:val="004A62E6"/>
    <w:rsid w:val="004B2AA8"/>
    <w:rsid w:val="00514113"/>
    <w:rsid w:val="00516C16"/>
    <w:rsid w:val="00554543"/>
    <w:rsid w:val="00577BE3"/>
    <w:rsid w:val="005E14DD"/>
    <w:rsid w:val="00654439"/>
    <w:rsid w:val="00661ED8"/>
    <w:rsid w:val="006F3C81"/>
    <w:rsid w:val="007E56FE"/>
    <w:rsid w:val="008A7934"/>
    <w:rsid w:val="009114B6"/>
    <w:rsid w:val="009F4454"/>
    <w:rsid w:val="00A370FE"/>
    <w:rsid w:val="00A84F78"/>
    <w:rsid w:val="00B142FF"/>
    <w:rsid w:val="00C16F19"/>
    <w:rsid w:val="00CB57E9"/>
    <w:rsid w:val="00CF5C07"/>
    <w:rsid w:val="00D636E2"/>
    <w:rsid w:val="00D64B17"/>
    <w:rsid w:val="00DD37F7"/>
    <w:rsid w:val="00DD4D56"/>
    <w:rsid w:val="00FC48CF"/>
    <w:rsid w:val="042E3D0A"/>
    <w:rsid w:val="047633D9"/>
    <w:rsid w:val="07F6399B"/>
    <w:rsid w:val="091C7001"/>
    <w:rsid w:val="0B8E0EB0"/>
    <w:rsid w:val="0BE542B7"/>
    <w:rsid w:val="0E565F93"/>
    <w:rsid w:val="120A3E26"/>
    <w:rsid w:val="12E06EBB"/>
    <w:rsid w:val="14B66F07"/>
    <w:rsid w:val="14C667C2"/>
    <w:rsid w:val="16225C6F"/>
    <w:rsid w:val="197752D7"/>
    <w:rsid w:val="1B8150B6"/>
    <w:rsid w:val="1C2017B0"/>
    <w:rsid w:val="223C6D39"/>
    <w:rsid w:val="23C404AC"/>
    <w:rsid w:val="23FC67CF"/>
    <w:rsid w:val="26842677"/>
    <w:rsid w:val="27CF2166"/>
    <w:rsid w:val="2B723F53"/>
    <w:rsid w:val="2D8D3349"/>
    <w:rsid w:val="2F5E18EC"/>
    <w:rsid w:val="2FF54A3C"/>
    <w:rsid w:val="305E3DB0"/>
    <w:rsid w:val="3295408B"/>
    <w:rsid w:val="38A511FB"/>
    <w:rsid w:val="39043F04"/>
    <w:rsid w:val="3BEA6867"/>
    <w:rsid w:val="3C034E64"/>
    <w:rsid w:val="3E012549"/>
    <w:rsid w:val="3EB81A6E"/>
    <w:rsid w:val="40FC53A9"/>
    <w:rsid w:val="410272B3"/>
    <w:rsid w:val="426307F8"/>
    <w:rsid w:val="42836897"/>
    <w:rsid w:val="444778D8"/>
    <w:rsid w:val="44E46BA6"/>
    <w:rsid w:val="472E62FB"/>
    <w:rsid w:val="4750610E"/>
    <w:rsid w:val="4E8D576B"/>
    <w:rsid w:val="4F8126BB"/>
    <w:rsid w:val="51EA54B4"/>
    <w:rsid w:val="5212459B"/>
    <w:rsid w:val="54F0472C"/>
    <w:rsid w:val="574511BD"/>
    <w:rsid w:val="599D6726"/>
    <w:rsid w:val="5C8410F5"/>
    <w:rsid w:val="617554E1"/>
    <w:rsid w:val="62B73E05"/>
    <w:rsid w:val="65600740"/>
    <w:rsid w:val="6F18472D"/>
    <w:rsid w:val="73EF41B9"/>
    <w:rsid w:val="768273FE"/>
    <w:rsid w:val="76874903"/>
    <w:rsid w:val="77083E89"/>
    <w:rsid w:val="7855167B"/>
    <w:rsid w:val="785B3584"/>
    <w:rsid w:val="7F27742A"/>
  </w:rsids>
  <m:mathPr>
    <m:mathFont m:val="Cambria Math"/>
    <m:brkBin m:val="before"/>
    <m:brkBinSub m:val="--"/>
    <m:smallFrac m:val="1"/>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60" w:lineRule="auto"/>
    </w:pPr>
    <w:rPr>
      <w:rFonts w:asciiTheme="minorHAnsi" w:hAnsiTheme="minorHAnsi" w:eastAsiaTheme="minorHAnsi" w:cstheme="minorBidi"/>
      <w:sz w:val="22"/>
      <w:szCs w:val="22"/>
      <w:lang w:val="en-GB" w:eastAsia="en-US" w:bidi="ar-SA"/>
    </w:rPr>
  </w:style>
  <w:style w:type="paragraph" w:styleId="2">
    <w:name w:val="heading 1"/>
    <w:basedOn w:val="1"/>
    <w:qFormat/>
    <w:uiPriority w:val="9"/>
    <w:pPr>
      <w:keepNext/>
      <w:keepLines/>
      <w:spacing w:before="340" w:after="330" w:line="578" w:lineRule="auto"/>
      <w:outlineLvl w:val="0"/>
    </w:pPr>
    <w:rPr>
      <w:b/>
      <w:bCs/>
      <w:kern w:val="44"/>
      <w:sz w:val="44"/>
      <w:szCs w:val="44"/>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ody Text"/>
    <w:basedOn w:val="1"/>
    <w:qFormat/>
    <w:uiPriority w:val="1"/>
    <w:pPr>
      <w:ind w:left="120"/>
    </w:pPr>
    <w:rPr>
      <w:rFonts w:ascii="Verdana" w:hAnsi="Verdana" w:eastAsia="Verdana" w:cs="Verdana"/>
      <w:sz w:val="22"/>
      <w:szCs w:val="22"/>
      <w:lang w:val="en-US" w:eastAsia="en-US" w:bidi="ar-SA"/>
    </w:rPr>
  </w:style>
  <w:style w:type="paragraph" w:styleId="6">
    <w:name w:val="header"/>
    <w:basedOn w:val="1"/>
    <w:unhideWhenUsed/>
    <w:qFormat/>
    <w:uiPriority w:val="99"/>
    <w:pPr>
      <w:tabs>
        <w:tab w:val="center" w:pos="4513"/>
        <w:tab w:val="right" w:pos="9026"/>
      </w:tabs>
      <w:spacing w:after="0" w:line="240" w:lineRule="auto"/>
    </w:pPr>
  </w:style>
  <w:style w:type="paragraph" w:styleId="7">
    <w:name w:val="List Paragraph"/>
    <w:basedOn w:val="1"/>
    <w:qFormat/>
    <w:uiPriority w:val="34"/>
    <w:pPr>
      <w:ind w:left="720"/>
      <w:contextualSpacing/>
    </w:pPr>
  </w:style>
  <w:style w:type="paragraph" w:styleId="8">
    <w:name w:val="No Spacing"/>
    <w:qFormat/>
    <w:uiPriority w:val="1"/>
    <w:pPr>
      <w:spacing w:after="160" w:line="260" w:lineRule="auto"/>
    </w:pPr>
    <w:rPr>
      <w:rFonts w:ascii="Calibri" w:hAnsi="Calibri" w:eastAsia="Times New Roman" w:cs="Times New Roman"/>
      <w:sz w:val="22"/>
      <w:szCs w:val="22"/>
      <w:lang w:val="en-GB" w:eastAsia="en-GB" w:bidi="ar-SA"/>
    </w:rPr>
  </w:style>
  <w:style w:type="character" w:customStyle="1" w:styleId="9">
    <w:name w:val="extended-address"/>
    <w:basedOn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microsoft.com/office/2007/relationships/hdphoto" Target="media/image2.wdp"/><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Company>
  <Pages>4</Pages>
  <Words>356</Words>
  <Characters>2034</Characters>
  <Lines>16</Lines>
  <Paragraphs>4</Paragraphs>
  <TotalTime>71</TotalTime>
  <ScaleCrop>false</ScaleCrop>
  <LinksUpToDate>false</LinksUpToDate>
  <CharactersWithSpaces>2386</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2018-12-04T15:37:00Z</dcterms:created>
  <dc:creator>Marc Willis</dc:creator>
  <cp:lastModifiedBy>WPS_1670938979</cp:lastModifiedBy>
  <dcterms:modified xsi:type="dcterms:W3CDTF">2025-12-15T09:31:26Z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1EF7DD090BC94A1B8F36784F835599C9_13</vt:lpwstr>
  </property>
</Properties>
</file>