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16 December 2025</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PL/2025/08830</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8 (BNG) relating to application PL/2025/03448.</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Bhurtpore Barracks, Tidworth Garrison, Tidworth, Wiltshire, SP9 7BB</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The Secretary of State for Defence c/o Defence Infrastructure Organisation</w:t>
            </w:r>
          </w:p>
          <w:p w14:paraId="19CDBB46" w14:textId="5C8681A3" w:rsidR="00004E29" w:rsidRPr="00642F56" w:rsidRDefault="009704CB" w:rsidP="009704CB">
            <w:pPr>
              <w:ind w:right="201"/>
              <w:rPr>
                <w:rFonts w:cs="Arial"/>
                <w:color w:val="181818"/>
              </w:rPr>
            </w:pPr>
            <w:r w:rsidRPr="00642F56">
              <w:rPr>
                <w:rFonts w:cs="Arial"/>
                <w:color w:val="181818"/>
              </w:rPr>
              <w:t>Aspire Business Centre, Ordnance Road, Tidworth, SP4 8QT</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05 November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Default="007D6DBD" w:rsidP="00DA7ECB">
      <w:pPr>
        <w:pStyle w:val="Letterbody"/>
        <w:ind w:left="-426" w:right="201"/>
        <w:rPr>
          <w:rFonts w:cs="Arial"/>
          <w:b/>
          <w:bCs/>
          <w:sz w:val="22"/>
          <w:szCs w:val="22"/>
        </w:rPr>
      </w:pPr>
    </w:p>
    <w:p w14:paraId="63C286D0" w14:textId="7B0D2D77" w:rsidR="00065EE6" w:rsidRDefault="00065EE6" w:rsidP="00DA7ECB">
      <w:pPr>
        <w:pStyle w:val="Letterbody"/>
        <w:ind w:left="-426" w:right="201"/>
        <w:rPr>
          <w:rFonts w:cs="Arial"/>
          <w:b/>
          <w:bCs/>
          <w:sz w:val="22"/>
          <w:szCs w:val="22"/>
        </w:rPr>
      </w:pPr>
      <w:r>
        <w:rPr>
          <w:rFonts w:cs="Arial"/>
          <w:b/>
          <w:bCs/>
          <w:sz w:val="22"/>
          <w:szCs w:val="22"/>
        </w:rPr>
        <w:t>Informative 8 (required to be discharged as a condition):</w:t>
      </w:r>
    </w:p>
    <w:p w14:paraId="6DC0853E" w14:textId="77777777" w:rsidR="00065EE6" w:rsidRDefault="00065EE6" w:rsidP="00DA7ECB">
      <w:pPr>
        <w:pStyle w:val="Letterbody"/>
        <w:ind w:left="-426" w:right="201"/>
        <w:rPr>
          <w:rFonts w:cs="Arial"/>
          <w:b/>
          <w:bCs/>
          <w:sz w:val="22"/>
          <w:szCs w:val="22"/>
        </w:rPr>
      </w:pPr>
    </w:p>
    <w:p w14:paraId="41C881FA"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t xml:space="preserve">The effect of paragraph 13 of Schedule 7A to the Town and Country Planning Act 1990 is that planning permission granted for the development of land in England is deemed to have been granted subject to the condition “(the biodiversity gain condition”) that development may not begin unless: </w:t>
      </w:r>
    </w:p>
    <w:p w14:paraId="442F3766"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t xml:space="preserve">(a) a Biodiversity Gain Plan has been submitted to the planning authority, and </w:t>
      </w:r>
    </w:p>
    <w:p w14:paraId="626D2D41" w14:textId="49F00A01" w:rsidR="00065EE6" w:rsidRPr="000A69A2" w:rsidRDefault="00065EE6" w:rsidP="00065EE6">
      <w:pPr>
        <w:pStyle w:val="Letterbody"/>
        <w:ind w:left="-426" w:right="201"/>
        <w:rPr>
          <w:rFonts w:cs="Arial"/>
          <w:i/>
          <w:iCs/>
          <w:sz w:val="22"/>
          <w:szCs w:val="22"/>
        </w:rPr>
      </w:pPr>
      <w:r w:rsidRPr="000A69A2">
        <w:rPr>
          <w:rFonts w:cs="Arial"/>
          <w:i/>
          <w:iCs/>
          <w:sz w:val="22"/>
          <w:szCs w:val="22"/>
        </w:rPr>
        <w:t>(b) the planning authority has approved the plan.</w:t>
      </w:r>
    </w:p>
    <w:p w14:paraId="19EEFC50" w14:textId="77777777" w:rsidR="00065EE6" w:rsidRPr="000A69A2" w:rsidRDefault="00065EE6" w:rsidP="00065EE6">
      <w:pPr>
        <w:pStyle w:val="Letterbody"/>
        <w:ind w:left="-426" w:right="201"/>
        <w:rPr>
          <w:rFonts w:cs="Arial"/>
          <w:i/>
          <w:iCs/>
          <w:sz w:val="22"/>
          <w:szCs w:val="22"/>
        </w:rPr>
      </w:pPr>
    </w:p>
    <w:p w14:paraId="116DF15B" w14:textId="00524383" w:rsidR="00065EE6" w:rsidRPr="000A69A2" w:rsidRDefault="00065EE6" w:rsidP="00065EE6">
      <w:pPr>
        <w:pStyle w:val="Letterbody"/>
        <w:ind w:left="-426" w:right="201"/>
        <w:rPr>
          <w:rFonts w:cs="Arial"/>
          <w:i/>
          <w:iCs/>
          <w:sz w:val="22"/>
          <w:szCs w:val="22"/>
        </w:rPr>
      </w:pPr>
      <w:r w:rsidRPr="000A69A2">
        <w:rPr>
          <w:rFonts w:cs="Arial"/>
          <w:i/>
          <w:iCs/>
          <w:sz w:val="22"/>
          <w:szCs w:val="22"/>
        </w:rPr>
        <w:t>The planning authority, for the purposes of determining whether to approve a Biodiversity Gain Plan if one is required in respect of this permission would be Wiltshire Council.</w:t>
      </w:r>
    </w:p>
    <w:p w14:paraId="39A26F0F" w14:textId="77777777" w:rsidR="00065EE6" w:rsidRPr="000A69A2" w:rsidRDefault="00065EE6" w:rsidP="00065EE6">
      <w:pPr>
        <w:pStyle w:val="Letterbody"/>
        <w:ind w:left="-426" w:right="201"/>
        <w:rPr>
          <w:rFonts w:cs="Arial"/>
          <w:i/>
          <w:iCs/>
          <w:sz w:val="22"/>
          <w:szCs w:val="22"/>
        </w:rPr>
      </w:pPr>
    </w:p>
    <w:p w14:paraId="41D0E243"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t xml:space="preserve">There are statutory exemptions and transitional arrangements which mean that the biodiversity gain condition does not always apply. For further information on exempt developments please refer to: </w:t>
      </w:r>
    </w:p>
    <w:p w14:paraId="0584F2A5"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t xml:space="preserve">https://www.gov.uk/guidance/biodiversity-net-gain-exempt-developments </w:t>
      </w:r>
    </w:p>
    <w:p w14:paraId="579CB032" w14:textId="77777777" w:rsidR="000A69A2" w:rsidRDefault="000A69A2" w:rsidP="00065EE6">
      <w:pPr>
        <w:pStyle w:val="Letterbody"/>
        <w:ind w:left="-426" w:right="201"/>
        <w:rPr>
          <w:rFonts w:cs="Arial"/>
          <w:i/>
          <w:iCs/>
          <w:sz w:val="22"/>
          <w:szCs w:val="22"/>
        </w:rPr>
      </w:pPr>
    </w:p>
    <w:p w14:paraId="585D504C" w14:textId="6C1E0B19" w:rsidR="00065EE6" w:rsidRPr="000A69A2" w:rsidRDefault="00065EE6" w:rsidP="00065EE6">
      <w:pPr>
        <w:pStyle w:val="Letterbody"/>
        <w:ind w:left="-426" w:right="201"/>
        <w:rPr>
          <w:rFonts w:cs="Arial"/>
          <w:i/>
          <w:iCs/>
          <w:sz w:val="22"/>
          <w:szCs w:val="22"/>
        </w:rPr>
      </w:pPr>
      <w:r w:rsidRPr="000A69A2">
        <w:rPr>
          <w:rFonts w:cs="Arial"/>
          <w:i/>
          <w:iCs/>
          <w:sz w:val="22"/>
          <w:szCs w:val="22"/>
        </w:rPr>
        <w:t xml:space="preserve">Based on the information available this permission is considered to be one which will require the approval of a biodiversity gain plan before development is begun because none of the statutory exemptions or transitional arrangements are considered to apply.  </w:t>
      </w:r>
    </w:p>
    <w:p w14:paraId="2AA965D9" w14:textId="77777777" w:rsidR="00065EE6" w:rsidRPr="000A69A2" w:rsidRDefault="00065EE6" w:rsidP="00065EE6">
      <w:pPr>
        <w:pStyle w:val="Letterbody"/>
        <w:ind w:left="-426" w:right="201"/>
        <w:rPr>
          <w:rFonts w:cs="Arial"/>
          <w:i/>
          <w:iCs/>
          <w:sz w:val="22"/>
          <w:szCs w:val="22"/>
        </w:rPr>
      </w:pPr>
    </w:p>
    <w:p w14:paraId="0EDE61D5"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t xml:space="preserve">Irreplaceable habitat </w:t>
      </w:r>
    </w:p>
    <w:p w14:paraId="045BE347"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lastRenderedPageBreak/>
        <w:t xml:space="preserve">If the onsite habitat includes irreplaceable habitat (within the meaning of the Biodiversity Gain Requirements (Irreplaceable Habitat) Regulations 2024) there are additional requirements for the content and approval of Biodiversity Gain Plans. </w:t>
      </w:r>
    </w:p>
    <w:p w14:paraId="20830705" w14:textId="77777777" w:rsidR="00065EE6" w:rsidRPr="000A69A2" w:rsidRDefault="00065EE6" w:rsidP="00065EE6">
      <w:pPr>
        <w:pStyle w:val="Letterbody"/>
        <w:ind w:left="-426" w:right="201"/>
        <w:rPr>
          <w:rFonts w:cs="Arial"/>
          <w:i/>
          <w:iCs/>
          <w:sz w:val="22"/>
          <w:szCs w:val="22"/>
        </w:rPr>
      </w:pPr>
    </w:p>
    <w:p w14:paraId="542AC56D" w14:textId="77777777" w:rsidR="00065EE6" w:rsidRPr="000A69A2" w:rsidRDefault="00065EE6" w:rsidP="00065EE6">
      <w:pPr>
        <w:pStyle w:val="Letterbody"/>
        <w:ind w:left="-426" w:right="201"/>
        <w:rPr>
          <w:rFonts w:cs="Arial"/>
          <w:i/>
          <w:iCs/>
          <w:sz w:val="22"/>
          <w:szCs w:val="22"/>
        </w:rPr>
      </w:pPr>
      <w:r w:rsidRPr="000A69A2">
        <w:rPr>
          <w:rFonts w:cs="Arial"/>
          <w:i/>
          <w:iCs/>
          <w:sz w:val="22"/>
          <w:szCs w:val="22"/>
        </w:rPr>
        <w:t>The Biodiversity Gain Plan must include, in addition to information about steps taken or to be taken to minimise any adverse effect of the development on the habitat, information on arrangements for compensation for any impact the development has on the biodiversity of the irreplaceable habitat.</w:t>
      </w:r>
    </w:p>
    <w:p w14:paraId="745AA03D" w14:textId="77777777" w:rsidR="00065EE6" w:rsidRPr="000A69A2" w:rsidRDefault="00065EE6" w:rsidP="00065EE6">
      <w:pPr>
        <w:pStyle w:val="Letterbody"/>
        <w:ind w:left="-426" w:right="201"/>
        <w:rPr>
          <w:rFonts w:cs="Arial"/>
          <w:i/>
          <w:iCs/>
          <w:sz w:val="22"/>
          <w:szCs w:val="22"/>
        </w:rPr>
      </w:pPr>
    </w:p>
    <w:p w14:paraId="486F1926" w14:textId="07E4CE01" w:rsidR="00065EE6" w:rsidRPr="00065EE6" w:rsidRDefault="00065EE6" w:rsidP="00065EE6">
      <w:pPr>
        <w:pStyle w:val="Letterbody"/>
        <w:ind w:left="-426" w:right="201"/>
        <w:rPr>
          <w:rFonts w:cs="Arial"/>
          <w:sz w:val="22"/>
          <w:szCs w:val="22"/>
        </w:rPr>
      </w:pPr>
      <w:r w:rsidRPr="000A69A2">
        <w:rPr>
          <w:rFonts w:cs="Arial"/>
          <w:i/>
          <w:iCs/>
          <w:sz w:val="22"/>
          <w:szCs w:val="22"/>
        </w:rPr>
        <w:t>The planning authority can only approve a Biodiversity Gain Plan if satisfied that the adverse effect of the development on the biodiversity of the irreplaceable habitat is minimised and appropriate arrangements have been made for the purpose of compensating for any impact which do not include the use of biodiversity credits.</w:t>
      </w:r>
    </w:p>
    <w:p w14:paraId="3C05D931" w14:textId="77777777" w:rsidR="00065EE6" w:rsidRDefault="00065EE6" w:rsidP="00DA7ECB">
      <w:pPr>
        <w:pStyle w:val="Letterbody"/>
        <w:ind w:left="-426" w:right="201"/>
        <w:rPr>
          <w:rFonts w:cs="Arial"/>
          <w:b/>
          <w:bCs/>
          <w:sz w:val="22"/>
          <w:szCs w:val="22"/>
        </w:rPr>
      </w:pPr>
    </w:p>
    <w:p w14:paraId="119016A1" w14:textId="77777777" w:rsidR="00065EE6" w:rsidRPr="000A69A2" w:rsidRDefault="00065EE6" w:rsidP="00065EE6">
      <w:pPr>
        <w:pStyle w:val="Letterbody"/>
        <w:ind w:left="-426" w:right="201"/>
        <w:rPr>
          <w:rFonts w:cs="Arial"/>
          <w:b/>
          <w:bCs/>
          <w:sz w:val="22"/>
          <w:szCs w:val="22"/>
        </w:rPr>
      </w:pPr>
      <w:r w:rsidRPr="000A69A2">
        <w:rPr>
          <w:rFonts w:cs="Arial"/>
          <w:b/>
          <w:bCs/>
          <w:sz w:val="22"/>
          <w:szCs w:val="22"/>
        </w:rPr>
        <w:t>Details Submitted for Approval:</w:t>
      </w:r>
    </w:p>
    <w:p w14:paraId="7883FF05" w14:textId="2A751E87" w:rsidR="00065EE6" w:rsidRPr="000A69A2" w:rsidRDefault="00065EE6" w:rsidP="000A69A2">
      <w:pPr>
        <w:pStyle w:val="Letterbody"/>
        <w:numPr>
          <w:ilvl w:val="0"/>
          <w:numId w:val="9"/>
        </w:numPr>
        <w:ind w:right="201"/>
        <w:rPr>
          <w:rFonts w:cs="Arial"/>
          <w:sz w:val="22"/>
          <w:szCs w:val="22"/>
        </w:rPr>
      </w:pPr>
      <w:r w:rsidRPr="000A69A2">
        <w:rPr>
          <w:rFonts w:cs="Arial"/>
          <w:sz w:val="22"/>
          <w:szCs w:val="22"/>
        </w:rPr>
        <w:t>Biodiversity Gain Plan (dated 05/11/2025)</w:t>
      </w:r>
    </w:p>
    <w:p w14:paraId="4C02991E" w14:textId="23AE92C1" w:rsidR="00065EE6" w:rsidRPr="000A69A2" w:rsidRDefault="00065EE6" w:rsidP="000A69A2">
      <w:pPr>
        <w:pStyle w:val="Letterbody"/>
        <w:numPr>
          <w:ilvl w:val="0"/>
          <w:numId w:val="9"/>
        </w:numPr>
        <w:ind w:right="201"/>
        <w:rPr>
          <w:rFonts w:cs="Arial"/>
          <w:sz w:val="22"/>
          <w:szCs w:val="22"/>
        </w:rPr>
      </w:pPr>
      <w:r w:rsidRPr="000A69A2">
        <w:rPr>
          <w:rFonts w:cs="Arial"/>
          <w:sz w:val="22"/>
          <w:szCs w:val="22"/>
        </w:rPr>
        <w:t>Habitat Management and Monitoring Plan (PAC-L1-BP0631-XX-SP-ES-000012 Rev B)</w:t>
      </w:r>
    </w:p>
    <w:p w14:paraId="7B12D363" w14:textId="3D56B46C" w:rsidR="00065EE6" w:rsidRPr="000A69A2" w:rsidRDefault="00065EE6" w:rsidP="000A69A2">
      <w:pPr>
        <w:pStyle w:val="Letterbody"/>
        <w:numPr>
          <w:ilvl w:val="0"/>
          <w:numId w:val="9"/>
        </w:numPr>
        <w:ind w:right="201"/>
        <w:rPr>
          <w:rFonts w:cs="Arial"/>
          <w:sz w:val="22"/>
          <w:szCs w:val="22"/>
        </w:rPr>
      </w:pPr>
      <w:r w:rsidRPr="000A69A2">
        <w:rPr>
          <w:rFonts w:cs="Arial"/>
          <w:sz w:val="22"/>
          <w:szCs w:val="22"/>
        </w:rPr>
        <w:t>Condition Assessments and Baseline Habitat Survey</w:t>
      </w:r>
    </w:p>
    <w:p w14:paraId="0DBC3D08" w14:textId="42E24A79" w:rsidR="000A69A2" w:rsidRPr="000A69A2" w:rsidRDefault="000A69A2" w:rsidP="000A69A2">
      <w:pPr>
        <w:pStyle w:val="Letterbody"/>
        <w:numPr>
          <w:ilvl w:val="0"/>
          <w:numId w:val="9"/>
        </w:numPr>
        <w:ind w:right="201"/>
        <w:rPr>
          <w:rFonts w:cs="Arial"/>
          <w:sz w:val="22"/>
          <w:szCs w:val="22"/>
        </w:rPr>
      </w:pPr>
      <w:r w:rsidRPr="000A69A2">
        <w:rPr>
          <w:rFonts w:cs="Arial"/>
          <w:sz w:val="22"/>
          <w:szCs w:val="22"/>
        </w:rPr>
        <w:t>BNG Metric</w:t>
      </w:r>
    </w:p>
    <w:p w14:paraId="40B738A1" w14:textId="77777777" w:rsidR="00065EE6" w:rsidRPr="00065EE6" w:rsidRDefault="00065EE6" w:rsidP="00065EE6">
      <w:pPr>
        <w:pStyle w:val="Letterbody"/>
        <w:ind w:left="-426" w:right="201"/>
        <w:rPr>
          <w:rFonts w:cs="Arial"/>
          <w:b/>
          <w:bCs/>
          <w:sz w:val="22"/>
          <w:szCs w:val="22"/>
        </w:rPr>
      </w:pPr>
    </w:p>
    <w:p w14:paraId="0F3CC863" w14:textId="77777777" w:rsidR="00065EE6" w:rsidRDefault="00065EE6" w:rsidP="00065EE6">
      <w:pPr>
        <w:pStyle w:val="Letterbody"/>
        <w:ind w:left="-426" w:right="201"/>
        <w:rPr>
          <w:rFonts w:cs="Arial"/>
          <w:sz w:val="22"/>
          <w:szCs w:val="22"/>
        </w:rPr>
      </w:pPr>
      <w:r w:rsidRPr="00065EE6">
        <w:rPr>
          <w:rFonts w:cs="Arial"/>
          <w:b/>
          <w:bCs/>
          <w:sz w:val="22"/>
          <w:szCs w:val="22"/>
        </w:rPr>
        <w:t xml:space="preserve">Decision: </w:t>
      </w:r>
      <w:r w:rsidRPr="00065EE6">
        <w:rPr>
          <w:rFonts w:cs="Arial"/>
          <w:sz w:val="22"/>
          <w:szCs w:val="22"/>
        </w:rPr>
        <w:t>The details submitted in relation to this condition</w:t>
      </w:r>
      <w:r w:rsidRPr="00065EE6">
        <w:rPr>
          <w:rFonts w:cs="Arial"/>
          <w:sz w:val="22"/>
          <w:szCs w:val="22"/>
        </w:rPr>
        <w:t>/informative</w:t>
      </w:r>
      <w:r w:rsidRPr="00065EE6">
        <w:rPr>
          <w:rFonts w:cs="Arial"/>
          <w:sz w:val="22"/>
          <w:szCs w:val="22"/>
        </w:rPr>
        <w:t xml:space="preserve"> are approved.</w:t>
      </w:r>
    </w:p>
    <w:p w14:paraId="19FAC089" w14:textId="77777777" w:rsidR="00065EE6" w:rsidRPr="00065EE6" w:rsidRDefault="00065EE6" w:rsidP="00065EE6">
      <w:pPr>
        <w:pStyle w:val="Letterbody"/>
        <w:ind w:left="-426" w:right="201"/>
        <w:rPr>
          <w:rFonts w:cs="Arial"/>
          <w:color w:val="000000"/>
          <w:sz w:val="22"/>
          <w:szCs w:val="22"/>
        </w:rPr>
      </w:pPr>
    </w:p>
    <w:p w14:paraId="5FC61C9F" w14:textId="46D9DD27" w:rsidR="00065EE6" w:rsidRPr="00065EE6" w:rsidRDefault="00065EE6" w:rsidP="00065EE6">
      <w:pPr>
        <w:pStyle w:val="Letterbody"/>
        <w:ind w:left="-426" w:right="201"/>
        <w:rPr>
          <w:rFonts w:cs="Arial"/>
          <w:sz w:val="22"/>
          <w:szCs w:val="22"/>
        </w:rPr>
      </w:pPr>
      <w:r w:rsidRPr="00065EE6">
        <w:rPr>
          <w:rFonts w:cs="Arial"/>
          <w:b/>
          <w:bCs/>
          <w:color w:val="000000"/>
          <w:sz w:val="22"/>
          <w:szCs w:val="22"/>
        </w:rPr>
        <w:t>Reason for Decision:</w:t>
      </w:r>
      <w:r w:rsidRPr="00065EE6">
        <w:rPr>
          <w:rFonts w:cs="Arial"/>
          <w:color w:val="000000"/>
          <w:sz w:val="22"/>
          <w:szCs w:val="22"/>
        </w:rPr>
        <w:t xml:space="preserve"> </w:t>
      </w:r>
      <w:r>
        <w:rPr>
          <w:rFonts w:cs="Arial"/>
          <w:color w:val="000000"/>
          <w:sz w:val="22"/>
          <w:szCs w:val="22"/>
        </w:rPr>
        <w:t>Informative/</w:t>
      </w:r>
      <w:r w:rsidRPr="00065EE6">
        <w:rPr>
          <w:rFonts w:cs="Arial"/>
          <w:color w:val="000000"/>
          <w:sz w:val="22"/>
          <w:szCs w:val="22"/>
        </w:rPr>
        <w:t xml:space="preserve">Condition </w:t>
      </w:r>
      <w:r>
        <w:rPr>
          <w:rFonts w:cs="Arial"/>
          <w:color w:val="000000"/>
          <w:sz w:val="22"/>
          <w:szCs w:val="22"/>
        </w:rPr>
        <w:t>8</w:t>
      </w:r>
      <w:r w:rsidRPr="00065EE6">
        <w:rPr>
          <w:rFonts w:cs="Arial"/>
          <w:color w:val="000000"/>
          <w:sz w:val="22"/>
          <w:szCs w:val="22"/>
        </w:rPr>
        <w:t xml:space="preserve"> – </w:t>
      </w:r>
      <w:r>
        <w:rPr>
          <w:rFonts w:cs="Arial"/>
          <w:color w:val="000000"/>
          <w:sz w:val="22"/>
          <w:szCs w:val="22"/>
        </w:rPr>
        <w:t>Biodiversity Net Gain</w:t>
      </w:r>
    </w:p>
    <w:p w14:paraId="5E3EFF02" w14:textId="1E99E474" w:rsidR="00065EE6" w:rsidRPr="00065EE6" w:rsidRDefault="00065EE6" w:rsidP="00CA4032">
      <w:pPr>
        <w:pStyle w:val="Letterbody"/>
        <w:spacing w:line="276" w:lineRule="auto"/>
        <w:ind w:left="-425" w:right="198"/>
        <w:rPr>
          <w:rFonts w:cs="Arial"/>
          <w:color w:val="000000"/>
          <w:sz w:val="22"/>
          <w:szCs w:val="22"/>
        </w:rPr>
      </w:pPr>
      <w:r w:rsidRPr="00065EE6">
        <w:rPr>
          <w:rFonts w:cs="Arial"/>
          <w:color w:val="000000"/>
          <w:sz w:val="22"/>
          <w:szCs w:val="22"/>
        </w:rPr>
        <w:t>The submitted Biodiversity Gain Plan, supported by the statutory metric calculation, habitat condition assessments, and a comprehensive Habitat Management and Monitoring Plan, satisfies the requirements of the biodiversity gain condition under Schedule 7A of the Town and Country Planning Act 1990.</w:t>
      </w:r>
      <w:r w:rsidR="00952D63">
        <w:rPr>
          <w:rFonts w:cs="Arial"/>
          <w:color w:val="000000"/>
          <w:sz w:val="22"/>
          <w:szCs w:val="22"/>
        </w:rPr>
        <w:t xml:space="preserve"> </w:t>
      </w:r>
      <w:r w:rsidR="00952D63" w:rsidRPr="00952D63">
        <w:rPr>
          <w:rFonts w:cs="Arial"/>
          <w:color w:val="000000"/>
          <w:sz w:val="22"/>
          <w:szCs w:val="22"/>
        </w:rPr>
        <w:t>The development shall be carried out in accordance with the approved details.</w:t>
      </w:r>
    </w:p>
    <w:p w14:paraId="268E429B" w14:textId="77777777" w:rsidR="00065EE6" w:rsidRPr="00065EE6" w:rsidRDefault="00065EE6" w:rsidP="00CA4032">
      <w:pPr>
        <w:pStyle w:val="Letterbody"/>
        <w:spacing w:line="276" w:lineRule="auto"/>
        <w:ind w:left="-425" w:right="198"/>
        <w:rPr>
          <w:rFonts w:cs="Arial"/>
          <w:color w:val="000000"/>
          <w:sz w:val="22"/>
          <w:szCs w:val="22"/>
        </w:rPr>
      </w:pPr>
    </w:p>
    <w:p w14:paraId="37E0F102" w14:textId="31C9D21C"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Please note that in accordance with national planning guidance, discharge of condition applications are procedural in nature and do not require public consultation. While third-party representations may occasionally 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r w:rsidR="00C963E0">
        <w:rPr>
          <w:rFonts w:cs="Arial"/>
        </w:rPr>
        <w:t>6 month</w:t>
      </w:r>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15F91"/>
    <w:multiLevelType w:val="hybridMultilevel"/>
    <w:tmpl w:val="26B08C9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1" w15:restartNumberingAfterBreak="0">
    <w:nsid w:val="1FF77A5E"/>
    <w:multiLevelType w:val="hybridMultilevel"/>
    <w:tmpl w:val="7EBEA7D6"/>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2" w15:restartNumberingAfterBreak="0">
    <w:nsid w:val="4464633B"/>
    <w:multiLevelType w:val="hybridMultilevel"/>
    <w:tmpl w:val="68FCE636"/>
    <w:lvl w:ilvl="0" w:tplc="9698D07A">
      <w:numFmt w:val="bullet"/>
      <w:lvlText w:val="•"/>
      <w:lvlJc w:val="left"/>
      <w:pPr>
        <w:ind w:left="1689" w:hanging="2115"/>
      </w:pPr>
      <w:rPr>
        <w:rFonts w:ascii="Arial" w:eastAsia="Times New Roman" w:hAnsi="Arial" w:cs="Aria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3"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CA56EE"/>
    <w:multiLevelType w:val="hybridMultilevel"/>
    <w:tmpl w:val="76D67F68"/>
    <w:lvl w:ilvl="0" w:tplc="9698D07A">
      <w:numFmt w:val="bullet"/>
      <w:lvlText w:val="•"/>
      <w:lvlJc w:val="left"/>
      <w:pPr>
        <w:ind w:left="1263" w:hanging="2115"/>
      </w:pPr>
      <w:rPr>
        <w:rFonts w:ascii="Arial" w:eastAsia="Times New Roman" w:hAnsi="Arial" w:cs="Aria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6"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abstractNum w:abstractNumId="7" w15:restartNumberingAfterBreak="0">
    <w:nsid w:val="5BA4651E"/>
    <w:multiLevelType w:val="hybridMultilevel"/>
    <w:tmpl w:val="1794E76C"/>
    <w:lvl w:ilvl="0" w:tplc="9698D07A">
      <w:numFmt w:val="bullet"/>
      <w:lvlText w:val="•"/>
      <w:lvlJc w:val="left"/>
      <w:pPr>
        <w:ind w:left="2115" w:hanging="2115"/>
      </w:pPr>
      <w:rPr>
        <w:rFonts w:ascii="Arial" w:eastAsia="Times New Roman"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74D2738B"/>
    <w:multiLevelType w:val="hybridMultilevel"/>
    <w:tmpl w:val="B54A4D30"/>
    <w:lvl w:ilvl="0" w:tplc="9698D07A">
      <w:numFmt w:val="bullet"/>
      <w:lvlText w:val="•"/>
      <w:lvlJc w:val="left"/>
      <w:pPr>
        <w:ind w:left="837" w:hanging="2115"/>
      </w:pPr>
      <w:rPr>
        <w:rFonts w:ascii="Arial" w:eastAsia="Times New Roman" w:hAnsi="Arial" w:cs="Arial" w:hint="default"/>
      </w:rPr>
    </w:lvl>
    <w:lvl w:ilvl="1" w:tplc="08090003" w:tentative="1">
      <w:start w:val="1"/>
      <w:numFmt w:val="bullet"/>
      <w:lvlText w:val="o"/>
      <w:lvlJc w:val="left"/>
      <w:pPr>
        <w:ind w:left="588" w:hanging="360"/>
      </w:pPr>
      <w:rPr>
        <w:rFonts w:ascii="Courier New" w:hAnsi="Courier New" w:cs="Courier New" w:hint="default"/>
      </w:rPr>
    </w:lvl>
    <w:lvl w:ilvl="2" w:tplc="08090005" w:tentative="1">
      <w:start w:val="1"/>
      <w:numFmt w:val="bullet"/>
      <w:lvlText w:val=""/>
      <w:lvlJc w:val="left"/>
      <w:pPr>
        <w:ind w:left="1308" w:hanging="360"/>
      </w:pPr>
      <w:rPr>
        <w:rFonts w:ascii="Wingdings" w:hAnsi="Wingdings" w:hint="default"/>
      </w:rPr>
    </w:lvl>
    <w:lvl w:ilvl="3" w:tplc="08090001" w:tentative="1">
      <w:start w:val="1"/>
      <w:numFmt w:val="bullet"/>
      <w:lvlText w:val=""/>
      <w:lvlJc w:val="left"/>
      <w:pPr>
        <w:ind w:left="2028" w:hanging="360"/>
      </w:pPr>
      <w:rPr>
        <w:rFonts w:ascii="Symbol" w:hAnsi="Symbol" w:hint="default"/>
      </w:rPr>
    </w:lvl>
    <w:lvl w:ilvl="4" w:tplc="08090003" w:tentative="1">
      <w:start w:val="1"/>
      <w:numFmt w:val="bullet"/>
      <w:lvlText w:val="o"/>
      <w:lvlJc w:val="left"/>
      <w:pPr>
        <w:ind w:left="2748" w:hanging="360"/>
      </w:pPr>
      <w:rPr>
        <w:rFonts w:ascii="Courier New" w:hAnsi="Courier New" w:cs="Courier New" w:hint="default"/>
      </w:rPr>
    </w:lvl>
    <w:lvl w:ilvl="5" w:tplc="08090005" w:tentative="1">
      <w:start w:val="1"/>
      <w:numFmt w:val="bullet"/>
      <w:lvlText w:val=""/>
      <w:lvlJc w:val="left"/>
      <w:pPr>
        <w:ind w:left="3468" w:hanging="360"/>
      </w:pPr>
      <w:rPr>
        <w:rFonts w:ascii="Wingdings" w:hAnsi="Wingdings" w:hint="default"/>
      </w:rPr>
    </w:lvl>
    <w:lvl w:ilvl="6" w:tplc="08090001" w:tentative="1">
      <w:start w:val="1"/>
      <w:numFmt w:val="bullet"/>
      <w:lvlText w:val=""/>
      <w:lvlJc w:val="left"/>
      <w:pPr>
        <w:ind w:left="4188" w:hanging="360"/>
      </w:pPr>
      <w:rPr>
        <w:rFonts w:ascii="Symbol" w:hAnsi="Symbol" w:hint="default"/>
      </w:rPr>
    </w:lvl>
    <w:lvl w:ilvl="7" w:tplc="08090003" w:tentative="1">
      <w:start w:val="1"/>
      <w:numFmt w:val="bullet"/>
      <w:lvlText w:val="o"/>
      <w:lvlJc w:val="left"/>
      <w:pPr>
        <w:ind w:left="4908" w:hanging="360"/>
      </w:pPr>
      <w:rPr>
        <w:rFonts w:ascii="Courier New" w:hAnsi="Courier New" w:cs="Courier New" w:hint="default"/>
      </w:rPr>
    </w:lvl>
    <w:lvl w:ilvl="8" w:tplc="08090005" w:tentative="1">
      <w:start w:val="1"/>
      <w:numFmt w:val="bullet"/>
      <w:lvlText w:val=""/>
      <w:lvlJc w:val="left"/>
      <w:pPr>
        <w:ind w:left="5628" w:hanging="360"/>
      </w:pPr>
      <w:rPr>
        <w:rFonts w:ascii="Wingdings" w:hAnsi="Wingdings" w:hint="default"/>
      </w:rPr>
    </w:lvl>
  </w:abstractNum>
  <w:num w:numId="1" w16cid:durableId="495267766">
    <w:abstractNumId w:val="4"/>
  </w:num>
  <w:num w:numId="2" w16cid:durableId="783114408">
    <w:abstractNumId w:val="6"/>
  </w:num>
  <w:num w:numId="3" w16cid:durableId="541014580">
    <w:abstractNumId w:val="3"/>
  </w:num>
  <w:num w:numId="4" w16cid:durableId="354768888">
    <w:abstractNumId w:val="0"/>
  </w:num>
  <w:num w:numId="5" w16cid:durableId="480661814">
    <w:abstractNumId w:val="2"/>
  </w:num>
  <w:num w:numId="6" w16cid:durableId="870646975">
    <w:abstractNumId w:val="5"/>
  </w:num>
  <w:num w:numId="7" w16cid:durableId="1806850526">
    <w:abstractNumId w:val="8"/>
  </w:num>
  <w:num w:numId="8" w16cid:durableId="1522401571">
    <w:abstractNumId w:val="7"/>
  </w:num>
  <w:num w:numId="9" w16cid:durableId="19940641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65EE6"/>
    <w:rsid w:val="000719F9"/>
    <w:rsid w:val="00073670"/>
    <w:rsid w:val="0009702B"/>
    <w:rsid w:val="000A69A2"/>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D073E"/>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52D63"/>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980</Words>
  <Characters>5627</Characters>
  <Application>Microsoft Office Word</Application>
  <DocSecurity>0</DocSecurity>
  <Lines>133</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salesforceId:225afb7a-0fc3-4c2f-b134-c4457a88047a</dc:subject>
  <dc:creator>Philip Skill</dc:creator>
  <cp:keywords/>
  <dc:description/>
  <cp:lastModifiedBy>James, Jonathan</cp:lastModifiedBy>
  <cp:revision>4</cp:revision>
  <dcterms:created xsi:type="dcterms:W3CDTF">2025-12-16T11:28:00Z</dcterms:created>
  <dcterms:modified xsi:type="dcterms:W3CDTF">2025-12-16T11:29:00Z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069Q300000KkrYtIAJ</vt:lpwstr>
  </property>
</Properties>
</file>