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565CC" w14:textId="056978A1" w:rsidR="001338D9" w:rsidRPr="009C560D" w:rsidRDefault="001338D9" w:rsidP="001338D9">
      <w:pPr>
        <w:rPr>
          <w:rFonts w:cs="Arial"/>
          <w:color w:val="181818"/>
          <w:shd w:val="clear" w:color="auto" w:fill="FFFFFF"/>
        </w:rPr>
      </w:pPr>
      <w:r>
        <w:rPr>
          <w:rFonts w:cs="Arial"/>
          <w:color w:val="181818"/>
          <w:shd w:val="clear" w:color="auto" w:fill="FFFFFF"/>
        </w:rPr>
        <w:t>202</w:t>
      </w:r>
      <w:r>
        <w:rPr>
          <w:rFonts w:cs="Arial"/>
          <w:color w:val="181818"/>
          <w:shd w:val="clear" w:color="auto" w:fill="FFFFFF"/>
        </w:rPr>
        <w:t>5/</w:t>
      </w:r>
      <w:r>
        <w:rPr>
          <w:rFonts w:cs="Arial"/>
          <w:color w:val="181818"/>
          <w:shd w:val="clear" w:color="auto" w:fill="FFFFFF"/>
        </w:rPr>
        <w:t xml:space="preserve">08695 </w:t>
      </w:r>
      <w:r w:rsidR="004F6F4D">
        <w:rPr>
          <w:rFonts w:cs="Arial"/>
          <w:color w:val="181818"/>
          <w:shd w:val="clear" w:color="auto" w:fill="FFFFFF"/>
        </w:rPr>
        <w:t>Permission in Principle</w:t>
      </w:r>
    </w:p>
    <w:p w14:paraId="1AEF1934" w14:textId="77777777" w:rsidR="001338D9" w:rsidRPr="008A7D1C" w:rsidRDefault="001338D9" w:rsidP="001338D9">
      <w:pPr>
        <w:rPr>
          <w:rFonts w:cs="Arial"/>
        </w:rPr>
      </w:pPr>
      <w:r w:rsidRPr="009C560D">
        <w:rPr>
          <w:rFonts w:cs="Arial"/>
        </w:rPr>
        <w:t xml:space="preserve">Site: </w:t>
      </w:r>
      <w:r w:rsidRPr="008A7D1C">
        <w:rPr>
          <w:rFonts w:cs="Arial"/>
          <w:color w:val="181818"/>
          <w:shd w:val="clear" w:color="auto" w:fill="FFFFFF"/>
        </w:rPr>
        <w:t xml:space="preserve">Praters Farm, Easton Town, Sherston, </w:t>
      </w:r>
      <w:proofErr w:type="spellStart"/>
      <w:r w:rsidRPr="008A7D1C">
        <w:rPr>
          <w:rFonts w:cs="Arial"/>
          <w:color w:val="181818"/>
          <w:shd w:val="clear" w:color="auto" w:fill="FFFFFF"/>
        </w:rPr>
        <w:t>Malmesbury</w:t>
      </w:r>
      <w:proofErr w:type="spellEnd"/>
      <w:r w:rsidRPr="008A7D1C">
        <w:rPr>
          <w:rFonts w:cs="Arial"/>
          <w:color w:val="181818"/>
          <w:shd w:val="clear" w:color="auto" w:fill="FFFFFF"/>
        </w:rPr>
        <w:t>, SN16 0PS</w:t>
      </w:r>
    </w:p>
    <w:p w14:paraId="61A6AE6A" w14:textId="56A5414E" w:rsidR="001338D9" w:rsidRPr="007354B0" w:rsidRDefault="001338D9" w:rsidP="001338D9">
      <w:pPr>
        <w:rPr>
          <w:rFonts w:cs="Arial"/>
        </w:rPr>
      </w:pPr>
      <w:r w:rsidRPr="00F02411">
        <w:rPr>
          <w:rFonts w:cs="Arial"/>
        </w:rPr>
        <w:t>Proposal</w:t>
      </w:r>
      <w:r w:rsidRPr="009C560D">
        <w:rPr>
          <w:rFonts w:cs="Arial"/>
        </w:rPr>
        <w:t xml:space="preserve">: </w:t>
      </w:r>
      <w:r>
        <w:rPr>
          <w:rFonts w:cs="Arial"/>
          <w:color w:val="181818"/>
          <w:shd w:val="clear" w:color="auto" w:fill="FFFFFF"/>
        </w:rPr>
        <w:t xml:space="preserve">Permission in Principle </w:t>
      </w:r>
      <w:r w:rsidR="00C35322">
        <w:rPr>
          <w:rFonts w:cs="Arial"/>
          <w:color w:val="181818"/>
          <w:shd w:val="clear" w:color="auto" w:fill="FFFFFF"/>
        </w:rPr>
        <w:t xml:space="preserve">(PIP) </w:t>
      </w:r>
      <w:r>
        <w:rPr>
          <w:rFonts w:cs="Arial"/>
          <w:color w:val="181818"/>
          <w:shd w:val="clear" w:color="auto" w:fill="FFFFFF"/>
        </w:rPr>
        <w:t>for the Proposed Erection of Up to Five Dwellings</w:t>
      </w:r>
    </w:p>
    <w:p w14:paraId="527E0022" w14:textId="77777777" w:rsidR="001338D9" w:rsidRDefault="001338D9" w:rsidP="001338D9">
      <w:pPr>
        <w:rPr>
          <w:rFonts w:cs="Arial"/>
        </w:rPr>
      </w:pPr>
      <w:r>
        <w:rPr>
          <w:rFonts w:cs="Arial"/>
        </w:rPr>
        <w:t>________________________________________________________________________</w:t>
      </w:r>
    </w:p>
    <w:p w14:paraId="46D7FA35" w14:textId="77777777" w:rsidR="001338D9" w:rsidRDefault="001338D9" w:rsidP="001338D9">
      <w:pPr>
        <w:rPr>
          <w:rFonts w:cs="Arial"/>
        </w:rPr>
      </w:pPr>
    </w:p>
    <w:p w14:paraId="66A6A5A2" w14:textId="77777777" w:rsidR="001338D9" w:rsidRPr="000E07EE" w:rsidRDefault="001338D9" w:rsidP="001338D9">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222D24A6" w14:textId="77777777" w:rsidR="001338D9" w:rsidRPr="000E07EE" w:rsidRDefault="001338D9" w:rsidP="001338D9">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1338D9" w:rsidRPr="000E07EE" w14:paraId="5A2F1F5B" w14:textId="77777777" w:rsidTr="00E27EAC">
        <w:trPr>
          <w:trHeight w:val="252"/>
        </w:trPr>
        <w:tc>
          <w:tcPr>
            <w:tcW w:w="750" w:type="dxa"/>
            <w:tcBorders>
              <w:top w:val="single" w:sz="4" w:space="0" w:color="auto"/>
              <w:left w:val="single" w:sz="4" w:space="0" w:color="auto"/>
              <w:bottom w:val="single" w:sz="4" w:space="0" w:color="auto"/>
              <w:right w:val="single" w:sz="4" w:space="0" w:color="auto"/>
            </w:tcBorders>
          </w:tcPr>
          <w:p w14:paraId="38E3C441" w14:textId="77777777" w:rsidR="001338D9" w:rsidRPr="000E07EE" w:rsidRDefault="001338D9" w:rsidP="00E27EAC">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4ECC430" w14:textId="4A8ED63B" w:rsidR="001338D9" w:rsidRPr="000E07EE" w:rsidRDefault="001338D9" w:rsidP="00E27EAC">
            <w:pPr>
              <w:tabs>
                <w:tab w:val="left" w:pos="720"/>
                <w:tab w:val="left" w:pos="1701"/>
              </w:tabs>
              <w:spacing w:after="0"/>
              <w:ind w:firstLine="175"/>
              <w:contextualSpacing w:val="0"/>
              <w:jc w:val="both"/>
              <w:rPr>
                <w:rFonts w:eastAsia="Times New Roman" w:cs="Times New Roman"/>
                <w:sz w:val="20"/>
                <w:szCs w:val="20"/>
                <w:lang w:eastAsia="en-GB"/>
              </w:rPr>
            </w:pPr>
            <w:r>
              <w:rPr>
                <w:rFonts w:eastAsia="Times New Roman" w:cs="Times New Roman"/>
                <w:sz w:val="20"/>
                <w:szCs w:val="20"/>
                <w:lang w:eastAsia="en-GB"/>
              </w:rPr>
              <w:t>C</w:t>
            </w:r>
            <w:r w:rsidRPr="000E07EE">
              <w:rPr>
                <w:rFonts w:eastAsia="Times New Roman" w:cs="Times New Roman"/>
                <w:sz w:val="20"/>
                <w:szCs w:val="20"/>
                <w:lang w:eastAsia="en-GB"/>
              </w:rPr>
              <w:t>omment</w:t>
            </w:r>
          </w:p>
        </w:tc>
      </w:tr>
      <w:tr w:rsidR="001338D9" w:rsidRPr="000E07EE" w14:paraId="0110799D" w14:textId="77777777" w:rsidTr="00E27EAC">
        <w:trPr>
          <w:trHeight w:val="252"/>
        </w:trPr>
        <w:tc>
          <w:tcPr>
            <w:tcW w:w="750" w:type="dxa"/>
            <w:tcBorders>
              <w:top w:val="single" w:sz="4" w:space="0" w:color="auto"/>
              <w:left w:val="single" w:sz="4" w:space="0" w:color="auto"/>
              <w:bottom w:val="single" w:sz="4" w:space="0" w:color="auto"/>
              <w:right w:val="single" w:sz="4" w:space="0" w:color="auto"/>
            </w:tcBorders>
          </w:tcPr>
          <w:p w14:paraId="5CD2CF8E" w14:textId="51E9E788" w:rsidR="001338D9" w:rsidRPr="000E07EE" w:rsidRDefault="001338D9" w:rsidP="00E27EAC">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E717133" w14:textId="77777777" w:rsidR="001338D9" w:rsidRPr="000E07EE" w:rsidRDefault="001338D9" w:rsidP="00E27EAC">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1338D9" w:rsidRPr="000E07EE" w14:paraId="01352FEC" w14:textId="77777777" w:rsidTr="00E27EAC">
        <w:trPr>
          <w:trHeight w:val="252"/>
        </w:trPr>
        <w:tc>
          <w:tcPr>
            <w:tcW w:w="750" w:type="dxa"/>
            <w:tcBorders>
              <w:top w:val="single" w:sz="4" w:space="0" w:color="auto"/>
              <w:left w:val="single" w:sz="4" w:space="0" w:color="auto"/>
              <w:bottom w:val="single" w:sz="4" w:space="0" w:color="auto"/>
              <w:right w:val="single" w:sz="4" w:space="0" w:color="auto"/>
            </w:tcBorders>
          </w:tcPr>
          <w:p w14:paraId="70162578" w14:textId="77777777" w:rsidR="001338D9" w:rsidRPr="000E07EE" w:rsidRDefault="001338D9" w:rsidP="00E27EAC">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CA85798" w14:textId="77777777" w:rsidR="001338D9" w:rsidRPr="000E07EE" w:rsidRDefault="001338D9" w:rsidP="00E27EAC">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1338D9" w:rsidRPr="000E07EE" w14:paraId="11356AA9" w14:textId="77777777" w:rsidTr="00E27EAC">
        <w:trPr>
          <w:trHeight w:val="252"/>
        </w:trPr>
        <w:tc>
          <w:tcPr>
            <w:tcW w:w="750" w:type="dxa"/>
            <w:tcBorders>
              <w:top w:val="single" w:sz="4" w:space="0" w:color="auto"/>
              <w:left w:val="single" w:sz="4" w:space="0" w:color="auto"/>
              <w:bottom w:val="single" w:sz="4" w:space="0" w:color="auto"/>
              <w:right w:val="single" w:sz="4" w:space="0" w:color="auto"/>
            </w:tcBorders>
          </w:tcPr>
          <w:p w14:paraId="707C3212" w14:textId="64BD6C20" w:rsidR="001338D9" w:rsidRPr="000E07EE" w:rsidRDefault="001338D9" w:rsidP="00E27EAC">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6799C55D" w14:textId="77777777" w:rsidR="001338D9" w:rsidRPr="000E07EE" w:rsidRDefault="001338D9" w:rsidP="00E27EAC">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1338D9" w:rsidRPr="000E07EE" w14:paraId="4EB00C1E" w14:textId="77777777" w:rsidTr="00E27EAC">
        <w:trPr>
          <w:trHeight w:val="252"/>
        </w:trPr>
        <w:tc>
          <w:tcPr>
            <w:tcW w:w="750" w:type="dxa"/>
            <w:tcBorders>
              <w:top w:val="single" w:sz="4" w:space="0" w:color="auto"/>
              <w:left w:val="single" w:sz="4" w:space="0" w:color="auto"/>
              <w:bottom w:val="single" w:sz="4" w:space="0" w:color="auto"/>
              <w:right w:val="single" w:sz="4" w:space="0" w:color="auto"/>
            </w:tcBorders>
          </w:tcPr>
          <w:p w14:paraId="4949A21F" w14:textId="77777777" w:rsidR="001338D9" w:rsidRPr="000E07EE" w:rsidRDefault="001338D9" w:rsidP="00E27EAC">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8DD591A" w14:textId="77777777" w:rsidR="001338D9" w:rsidRPr="000E07EE" w:rsidRDefault="001338D9" w:rsidP="00E27EAC">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52CDB449" w14:textId="77777777" w:rsidR="001338D9" w:rsidRDefault="001338D9" w:rsidP="001338D9">
      <w:pPr>
        <w:jc w:val="both"/>
        <w:rPr>
          <w:rFonts w:cs="Arial"/>
          <w:b/>
        </w:rPr>
      </w:pPr>
    </w:p>
    <w:p w14:paraId="388A491C" w14:textId="77777777" w:rsidR="001338D9" w:rsidRDefault="001338D9" w:rsidP="001338D9">
      <w:pPr>
        <w:rPr>
          <w:rFonts w:cs="Arial"/>
        </w:rPr>
      </w:pPr>
    </w:p>
    <w:p w14:paraId="2C2382ED" w14:textId="77777777" w:rsidR="001338D9" w:rsidRDefault="001338D9" w:rsidP="001338D9">
      <w:pPr>
        <w:jc w:val="both"/>
        <w:rPr>
          <w:rFonts w:cs="Arial"/>
        </w:rPr>
      </w:pPr>
      <w:r>
        <w:rPr>
          <w:rFonts w:cs="Arial"/>
          <w:b/>
        </w:rPr>
        <w:t>Scope of comments</w:t>
      </w:r>
      <w:r>
        <w:rPr>
          <w:rFonts w:cs="Arial"/>
        </w:rPr>
        <w:t xml:space="preserve">: the following comments relate to the built historic environment.  </w:t>
      </w:r>
    </w:p>
    <w:p w14:paraId="69628A13" w14:textId="77777777" w:rsidR="001338D9" w:rsidRDefault="001338D9" w:rsidP="001338D9">
      <w:pPr>
        <w:jc w:val="both"/>
        <w:rPr>
          <w:rFonts w:cs="Arial"/>
        </w:rPr>
      </w:pPr>
    </w:p>
    <w:p w14:paraId="0457DBCA" w14:textId="77777777" w:rsidR="001338D9" w:rsidRDefault="001338D9" w:rsidP="001338D9">
      <w:pPr>
        <w:jc w:val="both"/>
        <w:rPr>
          <w:rFonts w:cs="Arial"/>
          <w:b/>
        </w:rPr>
      </w:pPr>
      <w:r>
        <w:rPr>
          <w:rFonts w:cs="Arial"/>
          <w:b/>
        </w:rPr>
        <w:t xml:space="preserve">Site Description:  </w:t>
      </w:r>
    </w:p>
    <w:p w14:paraId="3997828A" w14:textId="77777777" w:rsidR="001338D9" w:rsidRDefault="001338D9" w:rsidP="001338D9">
      <w:pPr>
        <w:tabs>
          <w:tab w:val="left" w:pos="3820"/>
        </w:tabs>
        <w:jc w:val="both"/>
        <w:rPr>
          <w:rFonts w:cs="Arial"/>
          <w:b/>
        </w:rPr>
      </w:pPr>
    </w:p>
    <w:p w14:paraId="0477BDC8" w14:textId="77777777" w:rsidR="001338D9" w:rsidRDefault="001338D9" w:rsidP="001338D9">
      <w:pPr>
        <w:tabs>
          <w:tab w:val="left" w:pos="3820"/>
        </w:tabs>
        <w:jc w:val="both"/>
      </w:pPr>
      <w:r>
        <w:t xml:space="preserve">Praters is a former farmhouse now country house dating </w:t>
      </w:r>
      <w:proofErr w:type="spellStart"/>
      <w:r>
        <w:t>form</w:t>
      </w:r>
      <w:proofErr w:type="spellEnd"/>
      <w:r>
        <w:t xml:space="preserve"> the early 17</w:t>
      </w:r>
      <w:r w:rsidRPr="008A7D1C">
        <w:rPr>
          <w:vertAlign w:val="superscript"/>
        </w:rPr>
        <w:t>th</w:t>
      </w:r>
      <w:r>
        <w:t xml:space="preserve"> century with later 17</w:t>
      </w:r>
      <w:r w:rsidRPr="008A7D1C">
        <w:rPr>
          <w:vertAlign w:val="superscript"/>
        </w:rPr>
        <w:t>th</w:t>
      </w:r>
      <w:r>
        <w:t xml:space="preserve"> century west wing addition. It is a </w:t>
      </w:r>
      <w:proofErr w:type="gramStart"/>
      <w:r>
        <w:t>two storey</w:t>
      </w:r>
      <w:proofErr w:type="gramEnd"/>
      <w:r>
        <w:t xml:space="preserve"> property with L shaped plan after later 17</w:t>
      </w:r>
      <w:r w:rsidRPr="008A7D1C">
        <w:rPr>
          <w:vertAlign w:val="superscript"/>
        </w:rPr>
        <w:t>th</w:t>
      </w:r>
      <w:r>
        <w:t xml:space="preserve"> century addition. </w:t>
      </w:r>
    </w:p>
    <w:p w14:paraId="00B84660" w14:textId="77777777" w:rsidR="001338D9" w:rsidRDefault="001338D9" w:rsidP="001338D9">
      <w:pPr>
        <w:tabs>
          <w:tab w:val="left" w:pos="3820"/>
        </w:tabs>
        <w:jc w:val="both"/>
      </w:pPr>
    </w:p>
    <w:p w14:paraId="38708480" w14:textId="4307CC56" w:rsidR="001338D9" w:rsidRDefault="001338D9" w:rsidP="001338D9">
      <w:pPr>
        <w:tabs>
          <w:tab w:val="left" w:pos="3820"/>
        </w:tabs>
        <w:jc w:val="both"/>
      </w:pPr>
      <w:r>
        <w:t xml:space="preserve">The </w:t>
      </w:r>
      <w:r>
        <w:t xml:space="preserve">curtilage includes a separately listed </w:t>
      </w:r>
      <w:r w:rsidR="00C35322">
        <w:t xml:space="preserve">former Threshing </w:t>
      </w:r>
      <w:r w:rsidRPr="00143184">
        <w:t>Barn</w:t>
      </w:r>
      <w:r>
        <w:t xml:space="preserve"> located 15 m </w:t>
      </w:r>
      <w:proofErr w:type="gramStart"/>
      <w:r>
        <w:t>south west</w:t>
      </w:r>
      <w:proofErr w:type="gramEnd"/>
      <w:r>
        <w:t xml:space="preserve"> of the house. It has 17</w:t>
      </w:r>
      <w:r w:rsidRPr="00143184">
        <w:rPr>
          <w:vertAlign w:val="superscript"/>
        </w:rPr>
        <w:t>th</w:t>
      </w:r>
      <w:r>
        <w:t xml:space="preserve"> century origins and was extensively restored from a ruinous state in the 1970’s to a photographic studio. It is constructed in rubble stone with flush rusticated dressed stone quoins. The roof was replaced in the 1970’s and is clad in concrete tiles. The barn has a cruciform plan with east and west </w:t>
      </w:r>
      <w:proofErr w:type="spellStart"/>
      <w:r>
        <w:t>midstreys</w:t>
      </w:r>
      <w:proofErr w:type="spellEnd"/>
      <w:r>
        <w:t>.</w:t>
      </w:r>
    </w:p>
    <w:p w14:paraId="2E448DFA" w14:textId="77777777" w:rsidR="001338D9" w:rsidRDefault="001338D9" w:rsidP="001338D9">
      <w:pPr>
        <w:tabs>
          <w:tab w:val="left" w:pos="3820"/>
        </w:tabs>
        <w:jc w:val="both"/>
      </w:pPr>
    </w:p>
    <w:p w14:paraId="2E55C6DA" w14:textId="77777777" w:rsidR="00C35322" w:rsidRDefault="001338D9" w:rsidP="001338D9">
      <w:pPr>
        <w:tabs>
          <w:tab w:val="left" w:pos="3820"/>
        </w:tabs>
        <w:jc w:val="both"/>
      </w:pPr>
      <w:r>
        <w:t xml:space="preserve">Praters Farmhouse is in Easton Town which is at the eastern edge of Sherston and situated along a rural lane 50m south of the B4040 east-west road that forms the spine of Sherston. </w:t>
      </w:r>
    </w:p>
    <w:p w14:paraId="2666C549" w14:textId="77777777" w:rsidR="00C35322" w:rsidRDefault="00C35322" w:rsidP="001338D9">
      <w:pPr>
        <w:tabs>
          <w:tab w:val="left" w:pos="3820"/>
        </w:tabs>
        <w:jc w:val="both"/>
      </w:pPr>
    </w:p>
    <w:p w14:paraId="17078A30" w14:textId="4E06DA8E" w:rsidR="001338D9" w:rsidRDefault="001338D9" w:rsidP="001338D9">
      <w:pPr>
        <w:tabs>
          <w:tab w:val="left" w:pos="3820"/>
        </w:tabs>
        <w:jc w:val="both"/>
      </w:pPr>
      <w:r>
        <w:t xml:space="preserve">The farmhouse is positioned outside the development boundary and Sherston Conservation Area; </w:t>
      </w:r>
      <w:r w:rsidR="00C35322">
        <w:t>however,</w:t>
      </w:r>
      <w:r>
        <w:t xml:space="preserve"> it is located within the Cotswolds AONB.</w:t>
      </w:r>
    </w:p>
    <w:p w14:paraId="3FE77264" w14:textId="77777777" w:rsidR="00C35322" w:rsidRDefault="00C35322" w:rsidP="001338D9">
      <w:pPr>
        <w:tabs>
          <w:tab w:val="left" w:pos="3820"/>
        </w:tabs>
        <w:jc w:val="both"/>
      </w:pPr>
    </w:p>
    <w:p w14:paraId="7932CCA5" w14:textId="77777777" w:rsidR="007B0123" w:rsidRDefault="00C35322" w:rsidP="001338D9">
      <w:pPr>
        <w:tabs>
          <w:tab w:val="left" w:pos="3820"/>
        </w:tabs>
        <w:jc w:val="both"/>
      </w:pPr>
      <w:r>
        <w:t>The PIP application site is the agricultural field 0.28 h immediately adjacent, west of the farmhouse and farm buildings including the Threshing Barn and formed part of the larger Praters farm.</w:t>
      </w:r>
    </w:p>
    <w:p w14:paraId="6CD032FB" w14:textId="77777777" w:rsidR="007B0123" w:rsidRDefault="007B0123" w:rsidP="001338D9">
      <w:pPr>
        <w:tabs>
          <w:tab w:val="left" w:pos="3820"/>
        </w:tabs>
        <w:jc w:val="both"/>
      </w:pPr>
    </w:p>
    <w:p w14:paraId="31CD8CA9" w14:textId="6F3C6174" w:rsidR="00C35322" w:rsidRDefault="007B0123" w:rsidP="001338D9">
      <w:pPr>
        <w:tabs>
          <w:tab w:val="left" w:pos="3820"/>
        </w:tabs>
        <w:jc w:val="both"/>
        <w:rPr>
          <w:rFonts w:cs="Arial"/>
          <w:bCs/>
        </w:rPr>
      </w:pPr>
      <w:r>
        <w:t>The field has a street frontage to the north onto the B4040 behind a traditional dry-stone retaining wall</w:t>
      </w:r>
      <w:r w:rsidR="004F6F4D">
        <w:t>. The</w:t>
      </w:r>
      <w:r>
        <w:t xml:space="preserve"> field </w:t>
      </w:r>
      <w:r w:rsidR="004F6F4D">
        <w:t xml:space="preserve">is </w:t>
      </w:r>
      <w:r>
        <w:t xml:space="preserve">about 1m above the pavement level. </w:t>
      </w:r>
      <w:r w:rsidR="004F6F4D">
        <w:t xml:space="preserve">It includes some </w:t>
      </w:r>
      <w:r>
        <w:t>established hedgerow</w:t>
      </w:r>
      <w:r w:rsidR="004F6F4D">
        <w:t xml:space="preserve"> and trees</w:t>
      </w:r>
      <w:r>
        <w:t>. The other boundaries are heavily established trees to a hedgerow with post and rail fence to the west and to the east boundary with Praters Farmyard a 2m dry stone walling that return</w:t>
      </w:r>
      <w:r w:rsidR="004F6F4D">
        <w:t>s</w:t>
      </w:r>
      <w:r>
        <w:t xml:space="preserve"> </w:t>
      </w:r>
      <w:r w:rsidR="004F6F4D">
        <w:t>halfway</w:t>
      </w:r>
      <w:r>
        <w:t xml:space="preserve"> across the south boundary</w:t>
      </w:r>
      <w:r w:rsidR="004F6F4D">
        <w:t>. The rest of the south and east boundary is post and rail with established hedgerow and trees.</w:t>
      </w:r>
    </w:p>
    <w:p w14:paraId="174D092A" w14:textId="77777777" w:rsidR="001338D9" w:rsidRPr="00B36E10" w:rsidRDefault="001338D9" w:rsidP="001338D9">
      <w:pPr>
        <w:tabs>
          <w:tab w:val="left" w:pos="3820"/>
        </w:tabs>
        <w:jc w:val="both"/>
        <w:rPr>
          <w:rFonts w:cs="Arial"/>
          <w:bCs/>
        </w:rPr>
      </w:pPr>
      <w:r w:rsidRPr="00B36E10">
        <w:rPr>
          <w:rFonts w:cs="Arial"/>
          <w:bCs/>
        </w:rPr>
        <w:t xml:space="preserve"> </w:t>
      </w:r>
    </w:p>
    <w:p w14:paraId="01654CCE" w14:textId="77777777" w:rsidR="001338D9" w:rsidRDefault="001338D9" w:rsidP="001338D9">
      <w:pPr>
        <w:tabs>
          <w:tab w:val="left" w:pos="3820"/>
        </w:tabs>
        <w:jc w:val="both"/>
        <w:rPr>
          <w:rFonts w:cs="Arial"/>
        </w:rPr>
      </w:pPr>
      <w:r>
        <w:rPr>
          <w:rFonts w:cs="Arial"/>
          <w:b/>
        </w:rPr>
        <w:t>Heritage Assets</w:t>
      </w:r>
      <w:r>
        <w:rPr>
          <w:rFonts w:cs="Arial"/>
        </w:rPr>
        <w:t xml:space="preserve">: </w:t>
      </w:r>
    </w:p>
    <w:p w14:paraId="26402552" w14:textId="77777777" w:rsidR="001338D9" w:rsidRDefault="001338D9" w:rsidP="001338D9">
      <w:pPr>
        <w:jc w:val="both"/>
        <w:rPr>
          <w:rFonts w:cs="Arial"/>
        </w:rPr>
      </w:pPr>
      <w:r>
        <w:rPr>
          <w:rFonts w:cs="Arial"/>
        </w:rPr>
        <w:t xml:space="preserve">Praters Farmhouse Easton Town Sherston grade II </w:t>
      </w:r>
    </w:p>
    <w:p w14:paraId="05E49442" w14:textId="77777777" w:rsidR="001338D9" w:rsidRDefault="001338D9" w:rsidP="001338D9">
      <w:pPr>
        <w:jc w:val="both"/>
        <w:rPr>
          <w:rFonts w:cs="Arial"/>
        </w:rPr>
      </w:pPr>
      <w:r>
        <w:rPr>
          <w:rFonts w:cs="Arial"/>
        </w:rPr>
        <w:t>Barn to SW of Praters Farmhouse Easton Sherston grade II</w:t>
      </w:r>
    </w:p>
    <w:p w14:paraId="7F04568B" w14:textId="25E06351" w:rsidR="00C35322" w:rsidRDefault="00C35322" w:rsidP="001338D9">
      <w:pPr>
        <w:jc w:val="both"/>
        <w:rPr>
          <w:rFonts w:cs="Arial"/>
        </w:rPr>
      </w:pPr>
      <w:r>
        <w:rPr>
          <w:rFonts w:cs="Arial"/>
        </w:rPr>
        <w:t xml:space="preserve">Home Farmhouse Easton Sherston grade II </w:t>
      </w:r>
    </w:p>
    <w:p w14:paraId="671E1E80" w14:textId="6A4085CD" w:rsidR="00C35322" w:rsidRDefault="00C35322" w:rsidP="001338D9">
      <w:pPr>
        <w:jc w:val="both"/>
        <w:rPr>
          <w:rFonts w:cs="Arial"/>
        </w:rPr>
      </w:pPr>
      <w:r>
        <w:rPr>
          <w:rFonts w:cs="Arial"/>
        </w:rPr>
        <w:t xml:space="preserve">Outbuilding to the North of Home Farmhouse grade II </w:t>
      </w:r>
    </w:p>
    <w:p w14:paraId="2D18624F" w14:textId="77777777" w:rsidR="001338D9" w:rsidRPr="001833E3" w:rsidRDefault="001338D9" w:rsidP="001338D9">
      <w:pPr>
        <w:jc w:val="both"/>
        <w:rPr>
          <w:rFonts w:cs="Arial"/>
        </w:rPr>
      </w:pPr>
    </w:p>
    <w:p w14:paraId="1B8046FB" w14:textId="77777777" w:rsidR="001338D9" w:rsidRDefault="001338D9" w:rsidP="001338D9">
      <w:pPr>
        <w:jc w:val="both"/>
        <w:rPr>
          <w:rFonts w:cs="Arial"/>
        </w:rPr>
      </w:pPr>
      <w:r>
        <w:rPr>
          <w:rFonts w:cs="Arial"/>
          <w:b/>
          <w:bCs/>
        </w:rPr>
        <w:t>Relevant planning History</w:t>
      </w:r>
      <w:r>
        <w:rPr>
          <w:rFonts w:cs="Arial"/>
        </w:rPr>
        <w:t>:</w:t>
      </w:r>
    </w:p>
    <w:p w14:paraId="4B290404" w14:textId="47DCB02D" w:rsidR="00C35322" w:rsidRDefault="00C35322" w:rsidP="00C35322">
      <w:pPr>
        <w:jc w:val="both"/>
        <w:rPr>
          <w:rFonts w:cs="Arial"/>
          <w:bCs/>
        </w:rPr>
      </w:pPr>
      <w:r>
        <w:rPr>
          <w:rFonts w:cs="Arial"/>
          <w:bCs/>
        </w:rPr>
        <w:t xml:space="preserve">2025/02862 Householder and 2025/03134 LBC Conversio of </w:t>
      </w:r>
      <w:r w:rsidR="007B0123">
        <w:rPr>
          <w:rFonts w:cs="Arial"/>
          <w:bCs/>
        </w:rPr>
        <w:t>Existing</w:t>
      </w:r>
      <w:r>
        <w:rPr>
          <w:rFonts w:cs="Arial"/>
          <w:bCs/>
        </w:rPr>
        <w:t xml:space="preserve"> Studio</w:t>
      </w:r>
    </w:p>
    <w:p w14:paraId="3852B6EE" w14:textId="3F54A1DA" w:rsidR="00C35322" w:rsidRDefault="00C35322" w:rsidP="00C35322">
      <w:pPr>
        <w:jc w:val="both"/>
        <w:rPr>
          <w:rFonts w:cs="Arial"/>
          <w:bCs/>
        </w:rPr>
      </w:pPr>
      <w:r>
        <w:rPr>
          <w:rFonts w:cs="Arial"/>
          <w:bCs/>
        </w:rPr>
        <w:t>2024/</w:t>
      </w:r>
      <w:r w:rsidR="007B0123">
        <w:rPr>
          <w:rFonts w:cs="Arial"/>
          <w:bCs/>
        </w:rPr>
        <w:t>11612 Householder and 2025/00178 Extension and alterations to Praters Farmhouse</w:t>
      </w:r>
    </w:p>
    <w:p w14:paraId="1621BD8F" w14:textId="77777777" w:rsidR="00C35322" w:rsidRDefault="00C35322" w:rsidP="00C35322">
      <w:pPr>
        <w:jc w:val="both"/>
        <w:rPr>
          <w:rFonts w:cs="Arial"/>
          <w:bCs/>
        </w:rPr>
      </w:pPr>
    </w:p>
    <w:p w14:paraId="24FF9EAB" w14:textId="46408BF3" w:rsidR="001338D9" w:rsidRPr="00C35322" w:rsidRDefault="001338D9" w:rsidP="00C35322">
      <w:pPr>
        <w:jc w:val="both"/>
        <w:rPr>
          <w:rFonts w:cs="Arial"/>
          <w:bCs/>
        </w:rPr>
      </w:pPr>
      <w:r>
        <w:rPr>
          <w:rFonts w:cs="Arial"/>
          <w:b/>
        </w:rPr>
        <w:lastRenderedPageBreak/>
        <w:t>The Proposal</w:t>
      </w:r>
      <w:r>
        <w:rPr>
          <w:rFonts w:cs="Arial"/>
        </w:rPr>
        <w:t>:</w:t>
      </w:r>
      <w:r>
        <w:rPr>
          <w:rFonts w:cs="Arial"/>
          <w:color w:val="181818"/>
          <w:shd w:val="clear" w:color="auto" w:fill="FFFFFF"/>
        </w:rPr>
        <w:t xml:space="preserve"> </w:t>
      </w:r>
      <w:r w:rsidR="007B0123">
        <w:rPr>
          <w:rFonts w:cs="Arial"/>
          <w:color w:val="181818"/>
          <w:shd w:val="clear" w:color="auto" w:fill="FFFFFF"/>
        </w:rPr>
        <w:t>Permission in Principle (PIP) for the Proposed Erection of Up to Five Dwellings</w:t>
      </w:r>
    </w:p>
    <w:p w14:paraId="4EB53483" w14:textId="77777777" w:rsidR="001338D9" w:rsidRDefault="001338D9" w:rsidP="001338D9">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18AC6739" w14:textId="77777777" w:rsidR="001338D9" w:rsidRDefault="001338D9" w:rsidP="001338D9">
      <w:pPr>
        <w:pStyle w:val="Letterbody"/>
        <w:rPr>
          <w:rFonts w:cs="Arial"/>
          <w:sz w:val="22"/>
          <w:szCs w:val="22"/>
        </w:rPr>
      </w:pPr>
    </w:p>
    <w:p w14:paraId="2900C32F" w14:textId="77777777" w:rsidR="001338D9" w:rsidRDefault="001338D9" w:rsidP="001338D9">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D4CB4DF" w14:textId="77777777" w:rsidR="001338D9" w:rsidRDefault="001338D9" w:rsidP="001338D9">
      <w:pPr>
        <w:autoSpaceDE w:val="0"/>
        <w:autoSpaceDN w:val="0"/>
        <w:adjustRightInd w:val="0"/>
        <w:spacing w:after="0"/>
        <w:contextualSpacing w:val="0"/>
        <w:jc w:val="both"/>
        <w:rPr>
          <w:rFonts w:eastAsia="Times New Roman" w:cs="Arial"/>
          <w:color w:val="000000"/>
          <w:lang w:eastAsia="en-GB"/>
        </w:rPr>
      </w:pPr>
    </w:p>
    <w:p w14:paraId="22C39DD7" w14:textId="77777777" w:rsidR="001338D9" w:rsidRDefault="001338D9" w:rsidP="001338D9">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Paragraphs 2</w:t>
      </w:r>
      <w:r>
        <w:rPr>
          <w:rFonts w:eastAsia="Times New Roman" w:cs="Arial"/>
          <w:color w:val="000000"/>
          <w:lang w:eastAsia="en-GB"/>
        </w:rPr>
        <w:t>13</w:t>
      </w:r>
      <w:r w:rsidRPr="0075110A">
        <w:rPr>
          <w:rFonts w:eastAsia="Times New Roman" w:cs="Arial"/>
          <w:color w:val="000000"/>
          <w:lang w:eastAsia="en-GB"/>
        </w:rPr>
        <w:t>-</w:t>
      </w:r>
      <w:r>
        <w:rPr>
          <w:rFonts w:eastAsia="Times New Roman" w:cs="Arial"/>
          <w:color w:val="000000"/>
          <w:lang w:eastAsia="en-GB"/>
        </w:rPr>
        <w:t>15</w:t>
      </w:r>
      <w:r w:rsidRPr="0075110A">
        <w:rPr>
          <w:rFonts w:eastAsia="Times New Roman" w:cs="Arial"/>
          <w:color w:val="000000"/>
          <w:lang w:eastAsia="en-GB"/>
        </w:rPr>
        <w:t xml:space="preserve"> of the NPPF require a balanced approach with any harm which would be caused being weighed against the potential public benefits which might be achieved. </w:t>
      </w:r>
    </w:p>
    <w:p w14:paraId="458AF7E1" w14:textId="77777777" w:rsidR="001338D9" w:rsidRDefault="001338D9" w:rsidP="001338D9">
      <w:pPr>
        <w:autoSpaceDE w:val="0"/>
        <w:autoSpaceDN w:val="0"/>
        <w:adjustRightInd w:val="0"/>
        <w:spacing w:after="0"/>
        <w:contextualSpacing w:val="0"/>
        <w:jc w:val="both"/>
        <w:rPr>
          <w:rFonts w:eastAsia="Times New Roman" w:cs="Arial"/>
          <w:color w:val="000000"/>
          <w:lang w:eastAsia="en-GB"/>
        </w:rPr>
      </w:pPr>
    </w:p>
    <w:p w14:paraId="7F54441B" w14:textId="77777777" w:rsidR="001338D9" w:rsidRPr="0075110A" w:rsidRDefault="001338D9" w:rsidP="001338D9">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 2</w:t>
      </w:r>
      <w:r>
        <w:rPr>
          <w:rFonts w:eastAsia="Times New Roman" w:cs="Arial"/>
          <w:color w:val="000000"/>
          <w:lang w:eastAsia="en-GB"/>
        </w:rPr>
        <w:t>10</w:t>
      </w:r>
      <w:r w:rsidRPr="0075110A">
        <w:rPr>
          <w:rFonts w:eastAsia="Times New Roman"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5EC5CA0D" w14:textId="77777777" w:rsidR="001338D9" w:rsidRDefault="001338D9" w:rsidP="001338D9">
      <w:pPr>
        <w:autoSpaceDE w:val="0"/>
        <w:autoSpaceDN w:val="0"/>
        <w:adjustRightInd w:val="0"/>
        <w:jc w:val="both"/>
        <w:rPr>
          <w:rFonts w:cs="Arial"/>
        </w:rPr>
      </w:pPr>
    </w:p>
    <w:p w14:paraId="64E53381" w14:textId="77777777" w:rsidR="001338D9" w:rsidRDefault="001338D9" w:rsidP="001338D9">
      <w:pPr>
        <w:jc w:val="both"/>
        <w:rPr>
          <w:rFonts w:cs="Arial"/>
        </w:rPr>
      </w:pPr>
      <w:r>
        <w:rPr>
          <w:rFonts w:cs="Arial"/>
        </w:rPr>
        <w:t>National Planning Practice Guidance provides guidance on interpreting the NPPF.</w:t>
      </w:r>
    </w:p>
    <w:p w14:paraId="47F5D373" w14:textId="77777777" w:rsidR="001338D9" w:rsidRDefault="001338D9" w:rsidP="001338D9">
      <w:pPr>
        <w:jc w:val="both"/>
        <w:rPr>
          <w:rFonts w:cs="Arial"/>
        </w:rPr>
      </w:pPr>
    </w:p>
    <w:p w14:paraId="3CBDB8B8" w14:textId="77777777" w:rsidR="001338D9" w:rsidRDefault="001338D9" w:rsidP="001338D9">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556451CB" w14:textId="77777777" w:rsidR="001338D9" w:rsidRDefault="001338D9" w:rsidP="001338D9">
      <w:pPr>
        <w:jc w:val="both"/>
        <w:rPr>
          <w:rFonts w:cs="Arial"/>
        </w:rPr>
      </w:pPr>
    </w:p>
    <w:p w14:paraId="04A2C89E" w14:textId="77777777" w:rsidR="001338D9" w:rsidRDefault="001338D9" w:rsidP="001338D9">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73F71024" w14:textId="77777777" w:rsidR="001338D9" w:rsidRDefault="001338D9" w:rsidP="001338D9">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297CAB84" w14:textId="77777777" w:rsidR="001338D9" w:rsidRDefault="001338D9" w:rsidP="001338D9">
      <w:pPr>
        <w:pStyle w:val="Letterbody"/>
        <w:rPr>
          <w:rFonts w:cs="Arial"/>
          <w:b/>
          <w:sz w:val="22"/>
          <w:szCs w:val="22"/>
        </w:rPr>
      </w:pPr>
    </w:p>
    <w:p w14:paraId="2ECCB242" w14:textId="5B8FFD97" w:rsidR="001338D9" w:rsidRDefault="001338D9" w:rsidP="001338D9">
      <w:pPr>
        <w:pStyle w:val="Letterbody"/>
        <w:rPr>
          <w:rFonts w:cs="Arial"/>
          <w:bCs/>
          <w:sz w:val="22"/>
          <w:szCs w:val="22"/>
        </w:rPr>
      </w:pPr>
      <w:r>
        <w:rPr>
          <w:rFonts w:cs="Arial"/>
          <w:b/>
          <w:sz w:val="22"/>
          <w:szCs w:val="22"/>
        </w:rPr>
        <w:t>Issues</w:t>
      </w:r>
      <w:r>
        <w:rPr>
          <w:rFonts w:cs="Arial"/>
          <w:bCs/>
          <w:sz w:val="22"/>
          <w:szCs w:val="22"/>
        </w:rPr>
        <w:t xml:space="preserve">: Impact on the </w:t>
      </w:r>
      <w:r w:rsidR="007B0123">
        <w:rPr>
          <w:rFonts w:cs="Arial"/>
          <w:bCs/>
          <w:sz w:val="22"/>
          <w:szCs w:val="22"/>
        </w:rPr>
        <w:t>setting of the Listed Buildings</w:t>
      </w:r>
      <w:r>
        <w:rPr>
          <w:rFonts w:cs="Arial"/>
          <w:bCs/>
          <w:sz w:val="22"/>
          <w:szCs w:val="22"/>
        </w:rPr>
        <w:t xml:space="preserve">. </w:t>
      </w:r>
    </w:p>
    <w:p w14:paraId="7DDF5681" w14:textId="77777777" w:rsidR="001338D9" w:rsidRPr="00310502" w:rsidRDefault="001338D9" w:rsidP="001338D9">
      <w:pPr>
        <w:tabs>
          <w:tab w:val="left" w:pos="1701"/>
        </w:tabs>
        <w:spacing w:after="0"/>
        <w:contextualSpacing w:val="0"/>
        <w:jc w:val="both"/>
        <w:rPr>
          <w:rFonts w:eastAsia="Times New Roman" w:cs="Arial"/>
          <w:u w:val="single"/>
          <w:lang w:eastAsia="en-GB"/>
        </w:rPr>
      </w:pPr>
    </w:p>
    <w:p w14:paraId="7C068C78" w14:textId="77777777" w:rsidR="001338D9" w:rsidRPr="00310502" w:rsidRDefault="001338D9" w:rsidP="001338D9">
      <w:pPr>
        <w:tabs>
          <w:tab w:val="left" w:pos="1701"/>
        </w:tabs>
        <w:spacing w:after="0"/>
        <w:contextualSpacing w:val="0"/>
        <w:jc w:val="both"/>
        <w:rPr>
          <w:rFonts w:eastAsia="Times New Roman" w:cs="Arial"/>
          <w:lang w:eastAsia="en-GB"/>
        </w:rPr>
      </w:pPr>
      <w:r w:rsidRPr="00310502">
        <w:rPr>
          <w:rFonts w:eastAsia="Times New Roman" w:cs="Arial"/>
          <w:b/>
          <w:bCs/>
          <w:lang w:eastAsia="en-GB"/>
        </w:rPr>
        <w:t>Significance of assets and contribution of setting</w:t>
      </w:r>
      <w:r w:rsidRPr="00310502">
        <w:rPr>
          <w:rFonts w:eastAsia="Times New Roman" w:cs="Arial"/>
          <w:lang w:eastAsia="en-GB"/>
        </w:rPr>
        <w:t xml:space="preserve">: The NPPF defines significance as the “value of a heritage asset to this and future generations because of its heritage interest. </w:t>
      </w:r>
    </w:p>
    <w:p w14:paraId="2247D04E" w14:textId="77777777" w:rsidR="001338D9" w:rsidRPr="00310502" w:rsidRDefault="001338D9" w:rsidP="001338D9">
      <w:pPr>
        <w:tabs>
          <w:tab w:val="left" w:pos="1701"/>
        </w:tabs>
        <w:spacing w:after="0"/>
        <w:contextualSpacing w:val="0"/>
        <w:jc w:val="both"/>
        <w:rPr>
          <w:rFonts w:eastAsia="Times New Roman" w:cs="Arial"/>
          <w:lang w:eastAsia="en-GB"/>
        </w:rPr>
      </w:pPr>
    </w:p>
    <w:p w14:paraId="380F0BCA" w14:textId="77777777" w:rsidR="001338D9" w:rsidRPr="00310502" w:rsidRDefault="001338D9" w:rsidP="001338D9">
      <w:pPr>
        <w:tabs>
          <w:tab w:val="left" w:pos="1701"/>
        </w:tabs>
        <w:spacing w:after="0"/>
        <w:contextualSpacing w:val="0"/>
        <w:jc w:val="both"/>
        <w:rPr>
          <w:rFonts w:eastAsia="Times New Roman" w:cs="Arial"/>
          <w:lang w:eastAsia="en-GB"/>
        </w:rPr>
      </w:pPr>
      <w:r w:rsidRPr="00310502">
        <w:rPr>
          <w:rFonts w:eastAsia="Times New Roman" w:cs="Arial"/>
          <w:lang w:eastAsia="en-GB"/>
        </w:rPr>
        <w:t xml:space="preserve">The interest may be </w:t>
      </w:r>
      <w:r w:rsidRPr="00310502">
        <w:rPr>
          <w:rFonts w:eastAsia="Times New Roman" w:cs="Arial"/>
          <w:b/>
          <w:bCs/>
          <w:lang w:eastAsia="en-GB"/>
        </w:rPr>
        <w:t>architectural</w:t>
      </w:r>
      <w:r w:rsidRPr="00310502">
        <w:rPr>
          <w:rFonts w:eastAsia="Times New Roman" w:cs="Arial"/>
          <w:lang w:eastAsia="en-GB"/>
        </w:rPr>
        <w:t xml:space="preserve">, or </w:t>
      </w:r>
      <w:r w:rsidRPr="00310502">
        <w:rPr>
          <w:rFonts w:eastAsia="Times New Roman" w:cs="Arial"/>
          <w:b/>
          <w:bCs/>
          <w:lang w:eastAsia="en-GB"/>
        </w:rPr>
        <w:t xml:space="preserve">historic </w:t>
      </w:r>
      <w:r w:rsidRPr="00310502">
        <w:rPr>
          <w:rFonts w:eastAsia="Times New Roman" w:cs="Arial"/>
          <w:lang w:eastAsia="en-GB"/>
        </w:rPr>
        <w:t xml:space="preserve">as set out in the Town and Country Planning (Listed Building and Conservation Areas) Act 1990 S 1. </w:t>
      </w:r>
    </w:p>
    <w:p w14:paraId="34441ADA" w14:textId="77777777" w:rsidR="001338D9" w:rsidRDefault="001338D9" w:rsidP="001338D9">
      <w:pPr>
        <w:pStyle w:val="Letterbody"/>
        <w:rPr>
          <w:rFonts w:cs="Arial"/>
          <w:sz w:val="22"/>
          <w:szCs w:val="22"/>
          <w:u w:val="single"/>
        </w:rPr>
      </w:pPr>
    </w:p>
    <w:p w14:paraId="33C6E833" w14:textId="77777777" w:rsidR="001338D9" w:rsidRDefault="001338D9" w:rsidP="001338D9">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70C6BF8C" w14:textId="77777777" w:rsidR="001338D9" w:rsidRDefault="001338D9" w:rsidP="001338D9">
      <w:pPr>
        <w:pStyle w:val="Letterbody"/>
        <w:rPr>
          <w:rFonts w:cs="Arial"/>
          <w:sz w:val="22"/>
          <w:szCs w:val="22"/>
        </w:rPr>
      </w:pPr>
    </w:p>
    <w:p w14:paraId="13AF4198" w14:textId="75B665D8" w:rsidR="001338D9" w:rsidRDefault="001338D9" w:rsidP="001338D9">
      <w:pPr>
        <w:pStyle w:val="Letterbody"/>
        <w:rPr>
          <w:rFonts w:cs="Arial"/>
          <w:sz w:val="22"/>
          <w:szCs w:val="22"/>
        </w:rPr>
      </w:pPr>
      <w:r w:rsidRPr="00B128F9">
        <w:rPr>
          <w:rFonts w:cs="Arial"/>
          <w:sz w:val="22"/>
          <w:szCs w:val="22"/>
        </w:rPr>
        <w:t xml:space="preserve">In this case the significance of the </w:t>
      </w:r>
      <w:r w:rsidR="007B0123">
        <w:rPr>
          <w:rFonts w:cs="Arial"/>
          <w:sz w:val="22"/>
          <w:szCs w:val="22"/>
        </w:rPr>
        <w:t xml:space="preserve">listed </w:t>
      </w:r>
      <w:r w:rsidRPr="00B128F9">
        <w:rPr>
          <w:rFonts w:cs="Arial"/>
          <w:sz w:val="22"/>
          <w:szCs w:val="22"/>
        </w:rPr>
        <w:t>building</w:t>
      </w:r>
      <w:r w:rsidR="007B0123">
        <w:rPr>
          <w:rFonts w:cs="Arial"/>
          <w:sz w:val="22"/>
          <w:szCs w:val="22"/>
        </w:rPr>
        <w:t>s comes from</w:t>
      </w:r>
      <w:r w:rsidRPr="00B128F9">
        <w:rPr>
          <w:rFonts w:cs="Arial"/>
          <w:sz w:val="22"/>
          <w:szCs w:val="22"/>
        </w:rPr>
        <w:t xml:space="preserve"> </w:t>
      </w:r>
      <w:proofErr w:type="spellStart"/>
      <w:r w:rsidR="007B0123">
        <w:rPr>
          <w:rFonts w:cs="Arial"/>
          <w:sz w:val="22"/>
          <w:szCs w:val="22"/>
        </w:rPr>
        <w:t>thier</w:t>
      </w:r>
      <w:proofErr w:type="spellEnd"/>
      <w:r w:rsidRPr="00B128F9">
        <w:rPr>
          <w:rFonts w:cs="Arial"/>
          <w:sz w:val="22"/>
          <w:szCs w:val="22"/>
        </w:rPr>
        <w:t xml:space="preserve"> historic </w:t>
      </w:r>
      <w:r>
        <w:rPr>
          <w:rFonts w:cs="Arial"/>
          <w:sz w:val="22"/>
          <w:szCs w:val="22"/>
        </w:rPr>
        <w:t xml:space="preserve">walling </w:t>
      </w:r>
      <w:r w:rsidRPr="00B128F9">
        <w:rPr>
          <w:rFonts w:cs="Arial"/>
          <w:sz w:val="22"/>
          <w:szCs w:val="22"/>
        </w:rPr>
        <w:t xml:space="preserve">fabric and </w:t>
      </w:r>
      <w:r>
        <w:rPr>
          <w:rFonts w:cs="Arial"/>
          <w:sz w:val="22"/>
          <w:szCs w:val="22"/>
        </w:rPr>
        <w:t xml:space="preserve">vernacular </w:t>
      </w:r>
      <w:r w:rsidRPr="00B128F9">
        <w:rPr>
          <w:rFonts w:cs="Arial"/>
          <w:sz w:val="22"/>
          <w:szCs w:val="22"/>
        </w:rPr>
        <w:t xml:space="preserve">architecture - its form, layout and architectural expression/detailing and use of </w:t>
      </w:r>
      <w:r>
        <w:rPr>
          <w:rFonts w:cs="Arial"/>
          <w:sz w:val="22"/>
          <w:szCs w:val="22"/>
        </w:rPr>
        <w:t xml:space="preserve">local </w:t>
      </w:r>
      <w:r w:rsidRPr="00B128F9">
        <w:rPr>
          <w:rFonts w:cs="Arial"/>
          <w:sz w:val="22"/>
          <w:szCs w:val="22"/>
        </w:rPr>
        <w:t>design</w:t>
      </w:r>
      <w:r>
        <w:rPr>
          <w:rFonts w:cs="Arial"/>
          <w:sz w:val="22"/>
          <w:szCs w:val="22"/>
        </w:rPr>
        <w:t xml:space="preserve"> approaches and </w:t>
      </w:r>
      <w:r w:rsidRPr="00B128F9">
        <w:rPr>
          <w:rFonts w:cs="Arial"/>
          <w:sz w:val="22"/>
          <w:szCs w:val="22"/>
        </w:rPr>
        <w:t xml:space="preserve">materials which have </w:t>
      </w:r>
      <w:r>
        <w:rPr>
          <w:rFonts w:cs="Arial"/>
          <w:sz w:val="22"/>
          <w:szCs w:val="22"/>
        </w:rPr>
        <w:t xml:space="preserve">some </w:t>
      </w:r>
      <w:r w:rsidRPr="00B128F9">
        <w:rPr>
          <w:rFonts w:cs="Arial"/>
          <w:sz w:val="22"/>
          <w:szCs w:val="22"/>
        </w:rPr>
        <w:t>significant aesthetic and architectural interest</w:t>
      </w:r>
      <w:r>
        <w:rPr>
          <w:rFonts w:cs="Arial"/>
          <w:sz w:val="22"/>
          <w:szCs w:val="22"/>
        </w:rPr>
        <w:t xml:space="preserve">. </w:t>
      </w:r>
    </w:p>
    <w:p w14:paraId="45740EB4" w14:textId="77777777" w:rsidR="001338D9" w:rsidRDefault="001338D9" w:rsidP="001338D9">
      <w:pPr>
        <w:pStyle w:val="Letterbody"/>
        <w:rPr>
          <w:rFonts w:cs="Arial"/>
          <w:sz w:val="22"/>
          <w:szCs w:val="22"/>
        </w:rPr>
      </w:pPr>
    </w:p>
    <w:p w14:paraId="1064E8DC" w14:textId="331D2D29" w:rsidR="001338D9" w:rsidRPr="00AD197F" w:rsidRDefault="001338D9" w:rsidP="001338D9">
      <w:r>
        <w:t xml:space="preserve">Praters Farmhouse is </w:t>
      </w:r>
      <w:r w:rsidR="004F6F4D">
        <w:t>significant,</w:t>
      </w:r>
      <w:r>
        <w:t xml:space="preserve"> and the Barn was listed for its contribution to the group with the Farmhouse. </w:t>
      </w:r>
    </w:p>
    <w:p w14:paraId="0A45EEC1" w14:textId="77777777" w:rsidR="001338D9" w:rsidRPr="00551478" w:rsidRDefault="001338D9" w:rsidP="001338D9">
      <w:pPr>
        <w:pStyle w:val="Letterbody"/>
        <w:rPr>
          <w:rFonts w:cs="Arial"/>
          <w:bCs/>
          <w:sz w:val="22"/>
          <w:szCs w:val="22"/>
        </w:rPr>
      </w:pPr>
      <w:r>
        <w:rPr>
          <w:rFonts w:cs="Arial"/>
          <w:b/>
          <w:sz w:val="22"/>
          <w:szCs w:val="22"/>
        </w:rPr>
        <w:lastRenderedPageBreak/>
        <w:t>Assessment</w:t>
      </w:r>
      <w:r>
        <w:rPr>
          <w:rFonts w:cs="Arial"/>
          <w:bCs/>
          <w:sz w:val="22"/>
          <w:szCs w:val="22"/>
        </w:rPr>
        <w:t xml:space="preserve">: </w:t>
      </w:r>
    </w:p>
    <w:p w14:paraId="2AB5950A" w14:textId="2A1E0BCC" w:rsidR="004F6F4D" w:rsidRDefault="001338D9" w:rsidP="004F6F4D">
      <w:pPr>
        <w:tabs>
          <w:tab w:val="left" w:pos="1701"/>
        </w:tabs>
        <w:spacing w:after="0"/>
        <w:contextualSpacing w:val="0"/>
        <w:jc w:val="both"/>
      </w:pPr>
      <w:r>
        <w:rPr>
          <w:rFonts w:eastAsia="Times New Roman" w:cs="Arial"/>
          <w:lang w:eastAsia="en-GB"/>
        </w:rPr>
        <w:t xml:space="preserve">The applicant has provided a </w:t>
      </w:r>
      <w:r w:rsidR="004F6F4D">
        <w:rPr>
          <w:rFonts w:eastAsia="Times New Roman" w:cs="Arial"/>
          <w:lang w:eastAsia="en-GB"/>
        </w:rPr>
        <w:t xml:space="preserve">Planning </w:t>
      </w:r>
      <w:r>
        <w:rPr>
          <w:rFonts w:eastAsia="Times New Roman" w:cs="Arial"/>
          <w:lang w:eastAsia="en-GB"/>
        </w:rPr>
        <w:t xml:space="preserve">Statement. </w:t>
      </w:r>
      <w:r w:rsidR="004F6F4D">
        <w:rPr>
          <w:rFonts w:eastAsia="Times New Roman" w:cs="Arial"/>
          <w:lang w:eastAsia="en-GB"/>
        </w:rPr>
        <w:t xml:space="preserve">It has indicated that the </w:t>
      </w:r>
      <w:r w:rsidR="004F6F4D">
        <w:t xml:space="preserve">National Planning Practice Guidance (PPG), </w:t>
      </w:r>
      <w:r w:rsidR="004F6F4D">
        <w:t xml:space="preserve">advises: </w:t>
      </w:r>
    </w:p>
    <w:p w14:paraId="4DEE4160" w14:textId="77777777" w:rsidR="004F6F4D" w:rsidRDefault="004F6F4D" w:rsidP="004F6F4D">
      <w:pPr>
        <w:tabs>
          <w:tab w:val="left" w:pos="1701"/>
        </w:tabs>
        <w:spacing w:after="0"/>
        <w:contextualSpacing w:val="0"/>
        <w:jc w:val="both"/>
      </w:pPr>
    </w:p>
    <w:p w14:paraId="28610C1D" w14:textId="05DA7DF0" w:rsidR="001338D9" w:rsidRDefault="004F6F4D" w:rsidP="004F6F4D">
      <w:pPr>
        <w:tabs>
          <w:tab w:val="left" w:pos="1701"/>
        </w:tabs>
        <w:spacing w:after="0"/>
        <w:contextualSpacing w:val="0"/>
        <w:jc w:val="both"/>
        <w:rPr>
          <w:i/>
          <w:iCs/>
        </w:rPr>
      </w:pPr>
      <w:r w:rsidRPr="004F6F4D">
        <w:rPr>
          <w:i/>
          <w:iCs/>
        </w:rPr>
        <w:t>‘</w:t>
      </w:r>
      <w:r w:rsidRPr="004F6F4D">
        <w:rPr>
          <w:i/>
          <w:iCs/>
        </w:rPr>
        <w:t>The permission in principle consent route is an alternative way of obtaining planning permission for housing-led development which separates the consideration of matters of principle for proposed development from the technical detail of the development. The permission in principle consent route has 2 stages: the first stage (or permission in principle stage) establishes whether a site is suitable in-principle and the second (‘technical details consent’) stage is when the detailed development proposals are assessed.</w:t>
      </w:r>
      <w:r w:rsidRPr="004F6F4D">
        <w:rPr>
          <w:i/>
          <w:iCs/>
        </w:rPr>
        <w:t>’</w:t>
      </w:r>
    </w:p>
    <w:p w14:paraId="5EEB10D4" w14:textId="77777777" w:rsidR="004F6F4D" w:rsidRDefault="004F6F4D" w:rsidP="004F6F4D">
      <w:pPr>
        <w:tabs>
          <w:tab w:val="left" w:pos="1701"/>
        </w:tabs>
        <w:spacing w:after="0"/>
        <w:contextualSpacing w:val="0"/>
        <w:jc w:val="both"/>
        <w:rPr>
          <w:i/>
          <w:iCs/>
        </w:rPr>
      </w:pPr>
    </w:p>
    <w:p w14:paraId="1F136CBF" w14:textId="1DFAB2D7" w:rsidR="004F6F4D" w:rsidRDefault="004F6F4D" w:rsidP="004F6F4D">
      <w:pPr>
        <w:tabs>
          <w:tab w:val="left" w:pos="1701"/>
        </w:tabs>
        <w:spacing w:after="0"/>
        <w:contextualSpacing w:val="0"/>
        <w:jc w:val="both"/>
        <w:rPr>
          <w:i/>
          <w:iCs/>
        </w:rPr>
      </w:pPr>
      <w:r>
        <w:t xml:space="preserve">The applicant comments that </w:t>
      </w:r>
      <w:r w:rsidRPr="004F6F4D">
        <w:rPr>
          <w:i/>
          <w:iCs/>
        </w:rPr>
        <w:t>‘</w:t>
      </w:r>
      <w:r w:rsidRPr="004F6F4D">
        <w:rPr>
          <w:i/>
          <w:iCs/>
        </w:rPr>
        <w:t xml:space="preserve">The site covers an area of circa. 0.28h of land which is proposed to be developed. The Cotswolds National Landscape washes over the site but there are no other national or local landscape or ecological designation, or any </w:t>
      </w:r>
      <w:proofErr w:type="gramStart"/>
      <w:r w:rsidRPr="004F6F4D">
        <w:rPr>
          <w:i/>
          <w:iCs/>
        </w:rPr>
        <w:t>site specific</w:t>
      </w:r>
      <w:proofErr w:type="gramEnd"/>
      <w:r w:rsidRPr="004F6F4D">
        <w:rPr>
          <w:i/>
          <w:iCs/>
        </w:rPr>
        <w:t xml:space="preserve"> constraints from a planning perspective.</w:t>
      </w:r>
      <w:r>
        <w:rPr>
          <w:i/>
          <w:iCs/>
        </w:rPr>
        <w:t>’</w:t>
      </w:r>
    </w:p>
    <w:p w14:paraId="12A78607" w14:textId="77777777" w:rsidR="004F6F4D" w:rsidRDefault="004F6F4D" w:rsidP="004F6F4D">
      <w:pPr>
        <w:tabs>
          <w:tab w:val="left" w:pos="1701"/>
        </w:tabs>
        <w:spacing w:after="0"/>
        <w:contextualSpacing w:val="0"/>
        <w:jc w:val="both"/>
        <w:rPr>
          <w:i/>
          <w:iCs/>
        </w:rPr>
      </w:pPr>
    </w:p>
    <w:p w14:paraId="48FC70BA" w14:textId="52CF8F08" w:rsidR="004F6F4D" w:rsidRDefault="004F6F4D" w:rsidP="004F6F4D">
      <w:pPr>
        <w:tabs>
          <w:tab w:val="left" w:pos="1701"/>
        </w:tabs>
        <w:spacing w:after="0"/>
        <w:contextualSpacing w:val="0"/>
        <w:jc w:val="both"/>
        <w:rPr>
          <w:rFonts w:cs="Arial"/>
        </w:rPr>
      </w:pPr>
      <w:r>
        <w:t xml:space="preserve">I would disagree with this the </w:t>
      </w:r>
      <w:r>
        <w:rPr>
          <w:rFonts w:cs="Arial"/>
        </w:rPr>
        <w:t xml:space="preserve">Planning (Listed Building and Conservation Areas) Act 1990. Sections 16 (LBC) and 66 (PP) require that </w:t>
      </w:r>
      <w:r>
        <w:rPr>
          <w:rFonts w:cs="Arial"/>
          <w:b/>
        </w:rPr>
        <w:t>special regard</w:t>
      </w:r>
      <w:r>
        <w:rPr>
          <w:rFonts w:cs="Arial"/>
        </w:rPr>
        <w:t xml:space="preserve"> be given to the desirability of preserving listed buildings, their settings or any features of special architectural or historic interest which they possess</w:t>
      </w:r>
      <w:r>
        <w:rPr>
          <w:rFonts w:cs="Arial"/>
        </w:rPr>
        <w:t xml:space="preserve">. </w:t>
      </w:r>
    </w:p>
    <w:p w14:paraId="7B47C982" w14:textId="77777777" w:rsidR="004F6F4D" w:rsidRDefault="004F6F4D" w:rsidP="004F6F4D">
      <w:pPr>
        <w:tabs>
          <w:tab w:val="left" w:pos="1701"/>
        </w:tabs>
        <w:spacing w:after="0"/>
        <w:contextualSpacing w:val="0"/>
        <w:jc w:val="both"/>
        <w:rPr>
          <w:rFonts w:cs="Arial"/>
        </w:rPr>
      </w:pPr>
    </w:p>
    <w:p w14:paraId="07E864FD" w14:textId="37CE1D57" w:rsidR="004F6F4D" w:rsidRDefault="004F6F4D" w:rsidP="004F6F4D">
      <w:pPr>
        <w:tabs>
          <w:tab w:val="left" w:pos="1701"/>
        </w:tabs>
        <w:spacing w:after="0"/>
        <w:contextualSpacing w:val="0"/>
        <w:jc w:val="both"/>
        <w:rPr>
          <w:rFonts w:cs="Arial"/>
        </w:rPr>
      </w:pPr>
      <w:r>
        <w:rPr>
          <w:rFonts w:cs="Arial"/>
        </w:rPr>
        <w:t xml:space="preserve">This </w:t>
      </w:r>
      <w:r w:rsidR="008E26E0">
        <w:rPr>
          <w:rFonts w:cs="Arial"/>
        </w:rPr>
        <w:t>‘</w:t>
      </w:r>
      <w:r>
        <w:rPr>
          <w:rFonts w:cs="Arial"/>
        </w:rPr>
        <w:t xml:space="preserve">special </w:t>
      </w:r>
      <w:r w:rsidR="008E26E0">
        <w:rPr>
          <w:rFonts w:cs="Arial"/>
        </w:rPr>
        <w:t xml:space="preserve">regard’ </w:t>
      </w:r>
      <w:r>
        <w:rPr>
          <w:rFonts w:cs="Arial"/>
        </w:rPr>
        <w:t xml:space="preserve">obligation </w:t>
      </w:r>
      <w:r w:rsidR="008E26E0">
        <w:rPr>
          <w:rFonts w:cs="Arial"/>
        </w:rPr>
        <w:t xml:space="preserve">requires a Local Planning Authority to consider the setting of listed buildings. This </w:t>
      </w:r>
      <w:r>
        <w:rPr>
          <w:rFonts w:cs="Arial"/>
        </w:rPr>
        <w:t xml:space="preserve">means the </w:t>
      </w:r>
      <w:r w:rsidR="008E26E0">
        <w:rPr>
          <w:rFonts w:cs="Arial"/>
        </w:rPr>
        <w:t>standard</w:t>
      </w:r>
      <w:r>
        <w:rPr>
          <w:rFonts w:cs="Arial"/>
        </w:rPr>
        <w:t xml:space="preserve"> assessment </w:t>
      </w:r>
      <w:r w:rsidR="008E26E0">
        <w:rPr>
          <w:rFonts w:cs="Arial"/>
        </w:rPr>
        <w:t>for</w:t>
      </w:r>
      <w:r>
        <w:rPr>
          <w:rFonts w:cs="Arial"/>
        </w:rPr>
        <w:t xml:space="preserve"> a PIP </w:t>
      </w:r>
      <w:r w:rsidR="008E26E0">
        <w:rPr>
          <w:rFonts w:cs="Arial"/>
        </w:rPr>
        <w:t>is</w:t>
      </w:r>
      <w:r>
        <w:rPr>
          <w:rFonts w:cs="Arial"/>
        </w:rPr>
        <w:t xml:space="preserve"> overridden by this legal duty to protect the heritage assets affected. Any </w:t>
      </w:r>
      <w:r w:rsidR="008E26E0">
        <w:rPr>
          <w:rFonts w:cs="Arial"/>
        </w:rPr>
        <w:t>application</w:t>
      </w:r>
      <w:r>
        <w:rPr>
          <w:rFonts w:cs="Arial"/>
        </w:rPr>
        <w:t xml:space="preserve"> for a </w:t>
      </w:r>
      <w:r w:rsidR="008E26E0">
        <w:rPr>
          <w:rFonts w:cs="Arial"/>
        </w:rPr>
        <w:t>proposal</w:t>
      </w:r>
      <w:r>
        <w:rPr>
          <w:rFonts w:cs="Arial"/>
        </w:rPr>
        <w:t xml:space="preserve"> for five house</w:t>
      </w:r>
      <w:r w:rsidR="008E26E0">
        <w:rPr>
          <w:rFonts w:cs="Arial"/>
        </w:rPr>
        <w:t>s</w:t>
      </w:r>
      <w:r>
        <w:rPr>
          <w:rFonts w:cs="Arial"/>
        </w:rPr>
        <w:t xml:space="preserve"> on this land requires detailed and specific assessment </w:t>
      </w:r>
      <w:r w:rsidR="008E26E0">
        <w:rPr>
          <w:rFonts w:cs="Arial"/>
        </w:rPr>
        <w:t xml:space="preserve">of the impact on setting of the listed buildings and this must come </w:t>
      </w:r>
      <w:r>
        <w:rPr>
          <w:rFonts w:cs="Arial"/>
        </w:rPr>
        <w:t xml:space="preserve">under the </w:t>
      </w:r>
      <w:r w:rsidR="008E26E0">
        <w:rPr>
          <w:rFonts w:cs="Arial"/>
        </w:rPr>
        <w:t>traditional</w:t>
      </w:r>
      <w:r>
        <w:rPr>
          <w:rFonts w:cs="Arial"/>
        </w:rPr>
        <w:t xml:space="preserve"> planning route. </w:t>
      </w:r>
    </w:p>
    <w:p w14:paraId="6AF39D65" w14:textId="77777777" w:rsidR="008E26E0" w:rsidRDefault="008E26E0" w:rsidP="004F6F4D">
      <w:pPr>
        <w:tabs>
          <w:tab w:val="left" w:pos="1701"/>
        </w:tabs>
        <w:spacing w:after="0"/>
        <w:contextualSpacing w:val="0"/>
        <w:jc w:val="both"/>
        <w:rPr>
          <w:rFonts w:cs="Arial"/>
        </w:rPr>
      </w:pPr>
    </w:p>
    <w:p w14:paraId="1469F291" w14:textId="14488EF5" w:rsidR="008E26E0" w:rsidRPr="004F6F4D" w:rsidRDefault="008E26E0" w:rsidP="004F6F4D">
      <w:pPr>
        <w:tabs>
          <w:tab w:val="left" w:pos="1701"/>
        </w:tabs>
        <w:spacing w:after="0"/>
        <w:contextualSpacing w:val="0"/>
        <w:jc w:val="both"/>
        <w:rPr>
          <w:rFonts w:eastAsia="Times New Roman" w:cs="Arial"/>
          <w:lang w:eastAsia="en-GB"/>
        </w:rPr>
      </w:pPr>
      <w:r>
        <w:rPr>
          <w:rFonts w:cs="Arial"/>
        </w:rPr>
        <w:t xml:space="preserve">This PIP should therefore not progress beyond stage one </w:t>
      </w:r>
      <w:r>
        <w:t>as it fails</w:t>
      </w:r>
      <w:r w:rsidRPr="008E26E0">
        <w:t xml:space="preserve"> the first stage (or permission in principle stage)</w:t>
      </w:r>
      <w:r>
        <w:t xml:space="preserve"> as it does not</w:t>
      </w:r>
      <w:r w:rsidRPr="008E26E0">
        <w:t xml:space="preserve"> establish</w:t>
      </w:r>
      <w:r>
        <w:t xml:space="preserve"> that this </w:t>
      </w:r>
      <w:r w:rsidRPr="008E26E0">
        <w:t>site is suitable in-principle</w:t>
      </w:r>
    </w:p>
    <w:p w14:paraId="2E1A8C21" w14:textId="77777777" w:rsidR="001338D9" w:rsidRDefault="001338D9" w:rsidP="001338D9">
      <w:pPr>
        <w:spacing w:before="100" w:beforeAutospacing="1" w:after="100" w:afterAutospacing="1"/>
        <w:contextualSpacing w:val="0"/>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7DE45A2" w14:textId="77777777" w:rsidR="008E26E0" w:rsidRDefault="008E26E0" w:rsidP="008E26E0">
      <w:pPr>
        <w:tabs>
          <w:tab w:val="left" w:pos="1701"/>
        </w:tabs>
        <w:spacing w:after="0"/>
        <w:contextualSpacing w:val="0"/>
        <w:jc w:val="both"/>
        <w:rPr>
          <w:rFonts w:cs="Arial"/>
        </w:rPr>
      </w:pPr>
      <w:r>
        <w:rPr>
          <w:rFonts w:cs="Arial"/>
        </w:rPr>
        <w:t>Th</w:t>
      </w:r>
      <w:r>
        <w:rPr>
          <w:rFonts w:cs="Arial"/>
        </w:rPr>
        <w:t>e</w:t>
      </w:r>
      <w:r>
        <w:rPr>
          <w:rFonts w:cs="Arial"/>
        </w:rPr>
        <w:t xml:space="preserve"> ‘special regard’ </w:t>
      </w:r>
      <w:r>
        <w:rPr>
          <w:rFonts w:cs="Arial"/>
        </w:rPr>
        <w:t xml:space="preserve">under Town and Country </w:t>
      </w:r>
      <w:r>
        <w:rPr>
          <w:rFonts w:cs="Arial"/>
        </w:rPr>
        <w:t xml:space="preserve">Planning (Listed Building and Conservation Areas) Act 1990. </w:t>
      </w:r>
      <w:r>
        <w:rPr>
          <w:rFonts w:cs="Arial"/>
        </w:rPr>
        <w:t>S 16 and S.</w:t>
      </w:r>
      <w:r>
        <w:rPr>
          <w:rFonts w:cs="Arial"/>
        </w:rPr>
        <w:t xml:space="preserve">66 (PP) require that </w:t>
      </w:r>
      <w:r>
        <w:rPr>
          <w:rFonts w:cs="Arial"/>
          <w:b/>
        </w:rPr>
        <w:t>special regard</w:t>
      </w:r>
      <w:r>
        <w:rPr>
          <w:rFonts w:cs="Arial"/>
        </w:rPr>
        <w:t xml:space="preserve"> be given to the desirability of preserving listed buildings, their settings or any features of special architectural or historic interest which they possess. </w:t>
      </w:r>
    </w:p>
    <w:p w14:paraId="0C6BBE61" w14:textId="77777777" w:rsidR="008E26E0" w:rsidRDefault="008E26E0" w:rsidP="008E26E0">
      <w:pPr>
        <w:tabs>
          <w:tab w:val="left" w:pos="1701"/>
        </w:tabs>
        <w:spacing w:after="0"/>
        <w:contextualSpacing w:val="0"/>
        <w:jc w:val="both"/>
        <w:rPr>
          <w:rFonts w:cs="Arial"/>
        </w:rPr>
      </w:pPr>
    </w:p>
    <w:p w14:paraId="7A9F3A9F" w14:textId="77777777" w:rsidR="008E26E0" w:rsidRDefault="008E26E0" w:rsidP="008E26E0">
      <w:pPr>
        <w:tabs>
          <w:tab w:val="left" w:pos="1701"/>
        </w:tabs>
        <w:spacing w:after="0"/>
        <w:contextualSpacing w:val="0"/>
        <w:jc w:val="both"/>
        <w:rPr>
          <w:rFonts w:cs="Arial"/>
        </w:rPr>
      </w:pPr>
      <w:r>
        <w:rPr>
          <w:rFonts w:cs="Arial"/>
        </w:rPr>
        <w:t xml:space="preserve">This </w:t>
      </w:r>
      <w:r>
        <w:rPr>
          <w:rFonts w:cs="Arial"/>
        </w:rPr>
        <w:t>obligation requires a Local Planning Authority to consider the setting of listed buildings</w:t>
      </w:r>
      <w:r>
        <w:rPr>
          <w:rFonts w:cs="Arial"/>
        </w:rPr>
        <w:t xml:space="preserve"> and </w:t>
      </w:r>
      <w:r>
        <w:rPr>
          <w:rFonts w:cs="Arial"/>
        </w:rPr>
        <w:t xml:space="preserve">means the standard assessment for a PIP is overridden by this legal duty to protect the heritage assets affected. </w:t>
      </w:r>
    </w:p>
    <w:p w14:paraId="09E064BA" w14:textId="77777777" w:rsidR="008E26E0" w:rsidRDefault="008E26E0" w:rsidP="008E26E0">
      <w:pPr>
        <w:tabs>
          <w:tab w:val="left" w:pos="1701"/>
        </w:tabs>
        <w:spacing w:after="0"/>
        <w:contextualSpacing w:val="0"/>
        <w:jc w:val="both"/>
        <w:rPr>
          <w:rFonts w:cs="Arial"/>
        </w:rPr>
      </w:pPr>
    </w:p>
    <w:p w14:paraId="269CB0CE" w14:textId="4998E6F0" w:rsidR="008E26E0" w:rsidRDefault="008E26E0" w:rsidP="008E26E0">
      <w:pPr>
        <w:tabs>
          <w:tab w:val="left" w:pos="1701"/>
        </w:tabs>
        <w:spacing w:after="0"/>
        <w:contextualSpacing w:val="0"/>
        <w:jc w:val="both"/>
        <w:rPr>
          <w:rFonts w:cs="Arial"/>
        </w:rPr>
      </w:pPr>
      <w:r>
        <w:rPr>
          <w:rFonts w:cs="Arial"/>
        </w:rPr>
        <w:t xml:space="preserve">Any application for a proposal for five houses on this land requires detailed and specific assessment of the impact on setting of the listed buildings and this must come under the traditional planning route. </w:t>
      </w:r>
    </w:p>
    <w:p w14:paraId="6437A4C7" w14:textId="77777777" w:rsidR="008E26E0" w:rsidRDefault="008E26E0" w:rsidP="008E26E0">
      <w:pPr>
        <w:tabs>
          <w:tab w:val="left" w:pos="1701"/>
        </w:tabs>
        <w:spacing w:after="0"/>
        <w:contextualSpacing w:val="0"/>
        <w:jc w:val="both"/>
        <w:rPr>
          <w:rFonts w:cs="Arial"/>
        </w:rPr>
      </w:pPr>
    </w:p>
    <w:p w14:paraId="45B94D3F" w14:textId="77777777" w:rsidR="008E26E0" w:rsidRPr="004F6F4D" w:rsidRDefault="008E26E0" w:rsidP="008E26E0">
      <w:pPr>
        <w:tabs>
          <w:tab w:val="left" w:pos="1701"/>
        </w:tabs>
        <w:spacing w:after="0"/>
        <w:contextualSpacing w:val="0"/>
        <w:jc w:val="both"/>
        <w:rPr>
          <w:rFonts w:eastAsia="Times New Roman" w:cs="Arial"/>
          <w:lang w:eastAsia="en-GB"/>
        </w:rPr>
      </w:pPr>
      <w:r>
        <w:rPr>
          <w:rFonts w:cs="Arial"/>
        </w:rPr>
        <w:t xml:space="preserve">This PIP should therefore not progress beyond stage one </w:t>
      </w:r>
      <w:r>
        <w:t>as it fails</w:t>
      </w:r>
      <w:r w:rsidRPr="008E26E0">
        <w:t xml:space="preserve"> the first stage (or permission in principle stage)</w:t>
      </w:r>
      <w:r>
        <w:t xml:space="preserve"> as it does not</w:t>
      </w:r>
      <w:r w:rsidRPr="008E26E0">
        <w:t xml:space="preserve"> establish</w:t>
      </w:r>
      <w:r>
        <w:t xml:space="preserve"> that this </w:t>
      </w:r>
      <w:r w:rsidRPr="008E26E0">
        <w:t>site is suitable in-principle</w:t>
      </w:r>
    </w:p>
    <w:p w14:paraId="0A75EE94" w14:textId="77777777" w:rsidR="001338D9" w:rsidRDefault="001338D9"/>
    <w:sectPr w:rsidR="001338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8D9"/>
    <w:rsid w:val="001338D9"/>
    <w:rsid w:val="004D1FC5"/>
    <w:rsid w:val="004F6F4D"/>
    <w:rsid w:val="007B0123"/>
    <w:rsid w:val="008E26E0"/>
    <w:rsid w:val="00C22429"/>
    <w:rsid w:val="00C35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7368A"/>
  <w15:chartTrackingRefBased/>
  <w15:docId w15:val="{C834896C-A458-47C7-96B3-F9E4E655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8D9"/>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1338D9"/>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38D9"/>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38D9"/>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338D9"/>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338D9"/>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338D9"/>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338D9"/>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338D9"/>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338D9"/>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8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8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8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8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8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8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8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8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8D9"/>
    <w:rPr>
      <w:rFonts w:eastAsiaTheme="majorEastAsia" w:cstheme="majorBidi"/>
      <w:color w:val="272727" w:themeColor="text1" w:themeTint="D8"/>
    </w:rPr>
  </w:style>
  <w:style w:type="paragraph" w:styleId="Title">
    <w:name w:val="Title"/>
    <w:basedOn w:val="Normal"/>
    <w:next w:val="Normal"/>
    <w:link w:val="TitleChar"/>
    <w:uiPriority w:val="10"/>
    <w:qFormat/>
    <w:rsid w:val="001338D9"/>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3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8D9"/>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338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8D9"/>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338D9"/>
    <w:rPr>
      <w:i/>
      <w:iCs/>
      <w:color w:val="404040" w:themeColor="text1" w:themeTint="BF"/>
    </w:rPr>
  </w:style>
  <w:style w:type="paragraph" w:styleId="ListParagraph">
    <w:name w:val="List Paragraph"/>
    <w:basedOn w:val="Normal"/>
    <w:uiPriority w:val="34"/>
    <w:qFormat/>
    <w:rsid w:val="001338D9"/>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1338D9"/>
    <w:rPr>
      <w:i/>
      <w:iCs/>
      <w:color w:val="0F4761" w:themeColor="accent1" w:themeShade="BF"/>
    </w:rPr>
  </w:style>
  <w:style w:type="paragraph" w:styleId="IntenseQuote">
    <w:name w:val="Intense Quote"/>
    <w:basedOn w:val="Normal"/>
    <w:next w:val="Normal"/>
    <w:link w:val="IntenseQuoteChar"/>
    <w:uiPriority w:val="30"/>
    <w:qFormat/>
    <w:rsid w:val="001338D9"/>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338D9"/>
    <w:rPr>
      <w:i/>
      <w:iCs/>
      <w:color w:val="0F4761" w:themeColor="accent1" w:themeShade="BF"/>
    </w:rPr>
  </w:style>
  <w:style w:type="character" w:styleId="IntenseReference">
    <w:name w:val="Intense Reference"/>
    <w:basedOn w:val="DefaultParagraphFont"/>
    <w:uiPriority w:val="32"/>
    <w:qFormat/>
    <w:rsid w:val="001338D9"/>
    <w:rPr>
      <w:b/>
      <w:bCs/>
      <w:smallCaps/>
      <w:color w:val="0F4761" w:themeColor="accent1" w:themeShade="BF"/>
      <w:spacing w:val="5"/>
    </w:rPr>
  </w:style>
  <w:style w:type="paragraph" w:customStyle="1" w:styleId="Letterbody">
    <w:name w:val="Letter body"/>
    <w:basedOn w:val="Normal"/>
    <w:rsid w:val="001338D9"/>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1486</Words>
  <Characters>7684</Characters>
  <Application>Microsoft Office Word</Application>
  <DocSecurity>0</DocSecurity>
  <Lines>178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cp:revision>
  <dcterms:created xsi:type="dcterms:W3CDTF">2025-12-03T16:17:00Z</dcterms:created>
  <dcterms:modified xsi:type="dcterms:W3CDTF">2025-12-03T17:05:00Z</dcterms:modified>
</cp:coreProperties>
</file>