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FDA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cs="Verdana"/>
          <w:sz w:val="20"/>
          <w:szCs w:val="20"/>
          <w:lang w:eastAsia="en-GB"/>
        </w:rPr>
        <w:drawing>
          <wp:anchor distT="0" distB="0" distL="114300" distR="114300" simplePos="0" relativeHeight="251659264" behindDoc="0" locked="0" layoutInCell="1" allowOverlap="1">
            <wp:simplePos x="0" y="0"/>
            <wp:positionH relativeFrom="column">
              <wp:posOffset>3945255</wp:posOffset>
            </wp:positionH>
            <wp:positionV relativeFrom="paragraph">
              <wp:posOffset>-417195</wp:posOffset>
            </wp:positionV>
            <wp:extent cx="2278380" cy="2235200"/>
            <wp:effectExtent l="0" t="0" r="7620" b="0"/>
            <wp:wrapNone/>
            <wp:docPr id="12" name="Picture 1" descr="C:\Users\Willis &amp; Co\Documents\My Documents\Clients\Templates &amp; Other\LetterHeadedPaper.jpg"/>
            <wp:cNvGraphicFramePr/>
            <a:graphic xmlns:a="http://schemas.openxmlformats.org/drawingml/2006/main">
              <a:graphicData uri="http://schemas.openxmlformats.org/drawingml/2006/picture">
                <pic:pic xmlns:pic="http://schemas.openxmlformats.org/drawingml/2006/picture">
                  <pic:nvPicPr>
                    <pic:cNvPr id="12" name="Picture 1" descr="C:\Users\Willis &amp; Co\Documents\My Documents\Clients\Templates &amp; Other\LetterHeadedPaper.jpg"/>
                    <pic:cNvPicPr/>
                  </pic:nvPicPr>
                  <pic:blipFill>
                    <a:blip r:embed="rId7" cstate="print">
                      <a:extLst>
                        <a:ext uri="{BEBA8EAE-BF5A-486C-A8C5-ECC9F3942E4B}">
                          <a14:imgProps xmlns:a14="http://schemas.microsoft.com/office/drawing/2010/main">
                            <a14:imgLayer r:embed="rId8">
                              <a14:imgEffect>
                                <a14:saturation sat="196000"/>
                              </a14:imgEffect>
                            </a14:imgLayer>
                          </a14:imgProps>
                        </a:ext>
                        <a:ext uri="{28A0092B-C50C-407E-A947-70E740481C1C}">
                          <a14:useLocalDpi xmlns:a14="http://schemas.microsoft.com/office/drawing/2010/main" val="0"/>
                        </a:ext>
                      </a:extLst>
                    </a:blip>
                    <a:srcRect l="65204" b="74702"/>
                    <a:stretch>
                      <a:fillRect/>
                    </a:stretch>
                  </pic:blipFill>
                  <pic:spPr>
                    <a:xfrm>
                      <a:off x="0" y="0"/>
                      <a:ext cx="2278380" cy="2235200"/>
                    </a:xfrm>
                    <a:prstGeom prst="rect">
                      <a:avLst/>
                    </a:prstGeom>
                    <a:noFill/>
                    <a:ln w="9525">
                      <a:noFill/>
                      <a:miter lim="800000"/>
                      <a:headEnd/>
                      <a:tailEnd/>
                    </a:ln>
                  </pic:spPr>
                </pic:pic>
              </a:graphicData>
            </a:graphic>
          </wp:anchor>
        </w:drawing>
      </w:r>
      <w:r>
        <w:rPr>
          <w:rFonts w:hint="default" w:ascii="Verdana" w:hAnsi="Verdana" w:eastAsia="SimSun" w:cs="Verdana"/>
          <w:b/>
          <w:bCs/>
          <w:color w:val="000000"/>
          <w:kern w:val="0"/>
          <w:sz w:val="20"/>
          <w:szCs w:val="20"/>
          <w:lang w:val="en-US" w:eastAsia="zh-CN" w:bidi="ar"/>
        </w:rPr>
        <w:t xml:space="preserve">Our ref: </w:t>
      </w:r>
      <w:r>
        <w:rPr>
          <w:rFonts w:hint="default" w:ascii="Verdana" w:hAnsi="Verdana" w:eastAsia="SimSun" w:cs="Verdana"/>
          <w:b w:val="0"/>
          <w:bCs w:val="0"/>
          <w:color w:val="000000"/>
          <w:kern w:val="0"/>
          <w:sz w:val="20"/>
          <w:szCs w:val="20"/>
          <w:lang w:val="en-US" w:eastAsia="zh-CN" w:bidi="ar"/>
        </w:rPr>
        <w:t>JH</w:t>
      </w:r>
      <w:r>
        <w:rPr>
          <w:rFonts w:hint="default" w:ascii="Verdana" w:hAnsi="Verdana" w:eastAsia="SimSun" w:cs="Verdana"/>
          <w:color w:val="000000"/>
          <w:kern w:val="0"/>
          <w:sz w:val="20"/>
          <w:szCs w:val="20"/>
          <w:lang w:val="en-US" w:eastAsia="zh-CN" w:bidi="ar"/>
        </w:rPr>
        <w:t>/</w:t>
      </w:r>
      <w:r>
        <w:rPr>
          <w:rFonts w:hint="default" w:ascii="Verdana" w:hAnsi="Verdana" w:eastAsia="SimSun" w:cs="Verdana"/>
          <w:color w:val="000000"/>
          <w:kern w:val="0"/>
          <w:sz w:val="20"/>
          <w:szCs w:val="20"/>
          <w:lang w:val="en-GB" w:eastAsia="zh-CN" w:bidi="ar"/>
        </w:rPr>
        <w:t>Goss</w:t>
      </w:r>
      <w:r>
        <w:rPr>
          <w:rFonts w:hint="default" w:ascii="Verdana" w:hAnsi="Verdana" w:eastAsia="SimSun" w:cs="Verdana"/>
          <w:color w:val="000000"/>
          <w:kern w:val="0"/>
          <w:sz w:val="20"/>
          <w:szCs w:val="20"/>
          <w:lang w:val="en-US" w:eastAsia="zh-CN" w:bidi="ar"/>
        </w:rPr>
        <w:t xml:space="preserve"> </w:t>
      </w:r>
    </w:p>
    <w:p w14:paraId="7F08CE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7409E4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GB" w:eastAsia="zh-CN" w:bidi="ar"/>
        </w:rPr>
        <w:t>13</w:t>
      </w:r>
      <w:r>
        <w:rPr>
          <w:rFonts w:hint="default" w:ascii="Verdana" w:hAnsi="Verdana" w:eastAsia="SimSun" w:cs="Verdana"/>
          <w:color w:val="000000"/>
          <w:kern w:val="0"/>
          <w:sz w:val="20"/>
          <w:szCs w:val="20"/>
          <w:vertAlign w:val="superscript"/>
          <w:lang w:val="en-GB" w:eastAsia="zh-CN" w:bidi="ar"/>
        </w:rPr>
        <w:t>th</w:t>
      </w:r>
      <w:r>
        <w:rPr>
          <w:rFonts w:hint="default" w:ascii="Verdana" w:hAnsi="Verdana" w:eastAsia="SimSun" w:cs="Verdana"/>
          <w:color w:val="000000"/>
          <w:kern w:val="0"/>
          <w:sz w:val="20"/>
          <w:szCs w:val="20"/>
          <w:lang w:val="en-GB" w:eastAsia="zh-CN" w:bidi="ar"/>
        </w:rPr>
        <w:t xml:space="preserve"> </w:t>
      </w:r>
      <w:r>
        <w:rPr>
          <w:rFonts w:hint="default" w:ascii="Verdana" w:hAnsi="Verdana" w:eastAsia="SimSun" w:cs="Verdana"/>
          <w:color w:val="000000"/>
          <w:kern w:val="0"/>
          <w:sz w:val="20"/>
          <w:szCs w:val="20"/>
          <w:lang w:val="en-US" w:eastAsia="zh-CN" w:bidi="ar"/>
        </w:rPr>
        <w:t>November 202</w:t>
      </w:r>
      <w:r>
        <w:rPr>
          <w:rFonts w:hint="default" w:ascii="Verdana" w:hAnsi="Verdana" w:eastAsia="SimSun" w:cs="Verdana"/>
          <w:color w:val="000000"/>
          <w:kern w:val="0"/>
          <w:sz w:val="20"/>
          <w:szCs w:val="20"/>
          <w:lang w:val="en-GB" w:eastAsia="zh-CN" w:bidi="ar"/>
        </w:rPr>
        <w:t>5</w:t>
      </w:r>
      <w:r>
        <w:rPr>
          <w:rFonts w:hint="default" w:ascii="Verdana" w:hAnsi="Verdana" w:eastAsia="SimSun" w:cs="Verdana"/>
          <w:color w:val="000000"/>
          <w:kern w:val="0"/>
          <w:sz w:val="20"/>
          <w:szCs w:val="20"/>
          <w:lang w:val="en-US" w:eastAsia="zh-CN" w:bidi="ar"/>
        </w:rPr>
        <w:t xml:space="preserve"> </w:t>
      </w:r>
    </w:p>
    <w:p w14:paraId="0C6443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03776A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1A8B83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6BA9C091">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US" w:eastAsia="zh-CN"/>
        </w:rPr>
      </w:pPr>
      <w:r>
        <w:rPr>
          <w:rFonts w:hint="default" w:ascii="Verdana" w:hAnsi="Verdana" w:cs="Verdana"/>
          <w:sz w:val="20"/>
          <w:szCs w:val="20"/>
          <w:lang w:val="en-US" w:eastAsia="zh-CN"/>
        </w:rPr>
        <w:t xml:space="preserve">Planning Services </w:t>
      </w:r>
    </w:p>
    <w:p w14:paraId="52FA8A1F">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Wiltshire Council</w:t>
      </w:r>
    </w:p>
    <w:p w14:paraId="3351C9A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US" w:eastAsia="zh-CN"/>
        </w:rPr>
      </w:pPr>
      <w:r>
        <w:rPr>
          <w:rFonts w:hint="default" w:ascii="Verdana" w:hAnsi="Verdana" w:cs="Verdana"/>
          <w:sz w:val="20"/>
          <w:szCs w:val="20"/>
          <w:lang w:val="en-GB" w:eastAsia="zh-CN"/>
        </w:rPr>
        <w:t>Monkton Park</w:t>
      </w:r>
      <w:r>
        <w:rPr>
          <w:rFonts w:hint="default" w:ascii="Verdana" w:hAnsi="Verdana" w:cs="Verdana"/>
          <w:sz w:val="20"/>
          <w:szCs w:val="20"/>
          <w:lang w:val="en-US" w:eastAsia="zh-CN"/>
        </w:rPr>
        <w:t xml:space="preserve"> Offices</w:t>
      </w:r>
    </w:p>
    <w:p w14:paraId="3E2CE655">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rPr>
      </w:pPr>
      <w:r>
        <w:rPr>
          <w:rFonts w:hint="default" w:ascii="Verdana" w:hAnsi="Verdana" w:cs="Verdana"/>
          <w:sz w:val="20"/>
          <w:szCs w:val="20"/>
          <w:lang w:val="en-GB" w:eastAsia="zh-CN"/>
        </w:rPr>
        <w:t>Monkton Hill</w:t>
      </w:r>
      <w:r>
        <w:rPr>
          <w:rFonts w:hint="default" w:ascii="Verdana" w:hAnsi="Verdana" w:cs="Verdana"/>
          <w:sz w:val="20"/>
          <w:szCs w:val="20"/>
          <w:lang w:val="en-US" w:eastAsia="zh-CN"/>
        </w:rPr>
        <w:t xml:space="preserve"> </w:t>
      </w:r>
    </w:p>
    <w:p w14:paraId="26E0176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Chippenham</w:t>
      </w:r>
    </w:p>
    <w:p w14:paraId="023742AB">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Wiltshire</w:t>
      </w:r>
    </w:p>
    <w:p w14:paraId="7D8383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r>
        <w:rPr>
          <w:rFonts w:hint="default" w:ascii="Verdana" w:hAnsi="Verdana" w:cs="Verdana"/>
          <w:sz w:val="20"/>
          <w:szCs w:val="20"/>
          <w:lang w:val="en-GB" w:eastAsia="zh-CN"/>
        </w:rPr>
        <w:t>SN15 1ER</w:t>
      </w:r>
    </w:p>
    <w:p w14:paraId="6F431A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36B3F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C5EEB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Dear Sir, </w:t>
      </w:r>
    </w:p>
    <w:p w14:paraId="42D257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0CD870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b/>
          <w:bCs/>
          <w:color w:val="000000"/>
          <w:kern w:val="0"/>
          <w:sz w:val="20"/>
          <w:szCs w:val="20"/>
          <w:lang w:val="en-US" w:eastAsia="zh-CN" w:bidi="ar"/>
        </w:rPr>
        <w:t xml:space="preserve">Town and Country Planning Act 1990 </w:t>
      </w:r>
    </w:p>
    <w:p w14:paraId="1534D0C4">
      <w:pPr>
        <w:pStyle w:val="6"/>
        <w:bidi w:val="0"/>
        <w:spacing w:line="240" w:lineRule="auto"/>
        <w:jc w:val="both"/>
        <w:rPr>
          <w:rFonts w:hint="default" w:ascii="Verdana" w:hAnsi="Verdana" w:cs="Verdana"/>
          <w:b/>
          <w:bCs/>
          <w:sz w:val="20"/>
          <w:szCs w:val="20"/>
        </w:rPr>
      </w:pPr>
      <w:r>
        <w:rPr>
          <w:rFonts w:hint="default" w:ascii="Verdana" w:hAnsi="Verdana" w:cs="Verdana"/>
          <w:b/>
          <w:bCs/>
          <w:sz w:val="20"/>
          <w:szCs w:val="20"/>
          <w:lang w:val="en-GB"/>
        </w:rPr>
        <w:t xml:space="preserve">Full planning application (retrospective) for equestrian arena at </w:t>
      </w:r>
      <w:r>
        <w:rPr>
          <w:rFonts w:hint="default" w:ascii="Verdana" w:hAnsi="Verdana"/>
          <w:b/>
          <w:sz w:val="20"/>
          <w:szCs w:val="20"/>
          <w:lang w:val="en-GB"/>
        </w:rPr>
        <w:t>Lock Farm, Foxham, Wiltshire, SN15 4NL</w:t>
      </w:r>
      <w:r>
        <w:rPr>
          <w:rFonts w:hint="default" w:ascii="Verdana" w:hAnsi="Verdana" w:cs="Verdana"/>
          <w:b/>
          <w:bCs/>
          <w:sz w:val="20"/>
          <w:szCs w:val="20"/>
        </w:rPr>
        <w:t>.</w:t>
      </w:r>
    </w:p>
    <w:p w14:paraId="6E79B2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p>
    <w:p w14:paraId="40C9C8A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Introduction</w:t>
      </w:r>
      <w:r>
        <w:rPr>
          <w:rFonts w:hint="default" w:ascii="Verdana" w:hAnsi="Verdana" w:eastAsia="SimSun" w:cs="Verdana"/>
          <w:color w:val="000000"/>
          <w:kern w:val="0"/>
          <w:sz w:val="20"/>
          <w:szCs w:val="20"/>
          <w:lang w:val="en-US" w:eastAsia="zh-CN" w:bidi="ar"/>
        </w:rPr>
        <w:t xml:space="preserve"> </w:t>
      </w:r>
    </w:p>
    <w:p w14:paraId="57532D5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lang w:val="en-GB"/>
        </w:rPr>
      </w:pPr>
      <w:r>
        <w:rPr>
          <w:rFonts w:hint="default" w:ascii="Verdana" w:hAnsi="Verdana" w:cs="Verdana"/>
          <w:sz w:val="20"/>
          <w:szCs w:val="20"/>
          <w:lang w:val="en-GB"/>
        </w:rPr>
        <w:t xml:space="preserve">We are instructed by Mrs Georgie </w:t>
      </w:r>
      <w:r>
        <w:rPr>
          <w:rFonts w:hint="default" w:ascii="Verdana" w:hAnsi="Verdana" w:cs="Verdana"/>
          <w:b w:val="0"/>
          <w:bCs w:val="0"/>
          <w:sz w:val="20"/>
          <w:szCs w:val="20"/>
          <w:u w:val="none"/>
          <w:lang w:val="en-GB"/>
        </w:rPr>
        <w:t xml:space="preserve">Goss, </w:t>
      </w:r>
      <w:r>
        <w:rPr>
          <w:rFonts w:hint="default" w:ascii="Verdana" w:hAnsi="Verdana"/>
          <w:b w:val="0"/>
          <w:bCs w:val="0"/>
          <w:sz w:val="20"/>
          <w:szCs w:val="20"/>
          <w:u w:val="none"/>
          <w:lang w:val="en-GB"/>
        </w:rPr>
        <w:t>proprietor</w:t>
      </w:r>
      <w:r>
        <w:rPr>
          <w:rFonts w:hint="default" w:ascii="Verdana" w:hAnsi="Verdana" w:cs="Verdana"/>
          <w:b w:val="0"/>
          <w:bCs w:val="0"/>
          <w:sz w:val="20"/>
          <w:szCs w:val="20"/>
          <w:u w:val="none"/>
          <w:lang w:val="en-GB"/>
        </w:rPr>
        <w:t xml:space="preserve"> of Georgie Goss Eventing, </w:t>
      </w:r>
      <w:r>
        <w:rPr>
          <w:rFonts w:hint="default" w:ascii="Verdana" w:hAnsi="Verdana" w:cs="Verdana"/>
          <w:sz w:val="20"/>
          <w:szCs w:val="20"/>
          <w:lang w:val="en-GB"/>
        </w:rPr>
        <w:t xml:space="preserve">to prepare and submit this full planning application (retrospective) </w:t>
      </w:r>
      <w:r>
        <w:rPr>
          <w:rFonts w:hint="default" w:ascii="Verdana" w:hAnsi="Verdana" w:cs="Verdana"/>
          <w:sz w:val="20"/>
          <w:szCs w:val="20"/>
          <w:highlight w:val="none"/>
          <w:lang w:val="en-GB"/>
        </w:rPr>
        <w:t>for an equestrian riding arena at Lock Farm, Foxham</w:t>
      </w:r>
      <w:r>
        <w:rPr>
          <w:rFonts w:hint="default" w:ascii="Verdana" w:hAnsi="Verdana" w:cs="Verdana"/>
          <w:sz w:val="20"/>
          <w:szCs w:val="20"/>
          <w:lang w:val="en-GB"/>
        </w:rPr>
        <w:t>.</w:t>
      </w:r>
    </w:p>
    <w:p w14:paraId="5CDDF01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2"/>
          <w:szCs w:val="22"/>
          <w:lang w:val="en-US" w:eastAsia="zh-CN"/>
        </w:rPr>
      </w:pPr>
    </w:p>
    <w:p w14:paraId="6E61352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Site Description</w:t>
      </w:r>
      <w:r>
        <w:rPr>
          <w:rFonts w:hint="default" w:ascii="Verdana" w:hAnsi="Verdana" w:eastAsia="SimSun" w:cs="Verdana"/>
          <w:color w:val="000000"/>
          <w:kern w:val="0"/>
          <w:sz w:val="20"/>
          <w:szCs w:val="20"/>
          <w:lang w:val="en-US" w:eastAsia="zh-CN" w:bidi="ar"/>
        </w:rPr>
        <w:t xml:space="preserve"> </w:t>
      </w:r>
    </w:p>
    <w:p w14:paraId="0AA1535A">
      <w:pPr>
        <w:numPr>
          <w:ilvl w:val="0"/>
          <w:numId w:val="0"/>
        </w:numPr>
        <w:spacing w:line="240" w:lineRule="auto"/>
        <w:ind w:leftChars="0"/>
        <w:jc w:val="both"/>
        <w:rPr>
          <w:rFonts w:hint="default" w:ascii="Verdana" w:hAnsi="Verdana" w:eastAsia="SimSun" w:cs="Verdana"/>
          <w:color w:val="000000"/>
          <w:kern w:val="0"/>
          <w:sz w:val="20"/>
          <w:szCs w:val="20"/>
          <w:lang w:val="en-US" w:eastAsia="zh-CN" w:bidi="ar"/>
        </w:rPr>
      </w:pPr>
      <w:r>
        <w:rPr>
          <w:rFonts w:hint="default" w:ascii="Verdana" w:hAnsi="Verdana" w:cs="Verdana"/>
          <w:sz w:val="20"/>
          <w:szCs w:val="20"/>
          <w:highlight w:val="none"/>
          <w:u w:val="none"/>
          <w:lang w:val="en-GB"/>
        </w:rPr>
        <w:t>Lock Farm is a well-established agricultural and equestrian unit. The applicant owns around 12.14 hectares (30 acres) at Lock Farm.</w:t>
      </w:r>
    </w:p>
    <w:p w14:paraId="0CA7825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GB" w:eastAsia="zh-CN" w:bidi="ar"/>
        </w:rPr>
        <w:t>Planning</w:t>
      </w:r>
      <w:r>
        <w:rPr>
          <w:rFonts w:hint="default" w:ascii="Verdana" w:hAnsi="Verdana" w:eastAsia="SimSun" w:cs="Verdana"/>
          <w:b/>
          <w:bCs/>
          <w:color w:val="000000"/>
          <w:kern w:val="0"/>
          <w:sz w:val="20"/>
          <w:szCs w:val="20"/>
          <w:u w:val="single"/>
          <w:lang w:val="en-US" w:eastAsia="zh-CN" w:bidi="ar"/>
        </w:rPr>
        <w:t xml:space="preserve"> History</w:t>
      </w:r>
      <w:r>
        <w:rPr>
          <w:rFonts w:hint="default" w:ascii="Verdana" w:hAnsi="Verdana" w:eastAsia="SimSun" w:cs="Verdana"/>
          <w:color w:val="000000"/>
          <w:kern w:val="0"/>
          <w:sz w:val="20"/>
          <w:szCs w:val="20"/>
          <w:lang w:val="en-US" w:eastAsia="zh-CN" w:bidi="ar"/>
        </w:rPr>
        <w:t xml:space="preserve"> </w:t>
      </w:r>
    </w:p>
    <w:p w14:paraId="61E255CB">
      <w:pPr>
        <w:numPr>
          <w:ilvl w:val="0"/>
          <w:numId w:val="0"/>
        </w:numPr>
        <w:spacing w:line="240" w:lineRule="auto"/>
        <w:ind w:leftChars="0"/>
        <w:jc w:val="both"/>
        <w:rPr>
          <w:rFonts w:hint="default" w:ascii="Verdana" w:hAnsi="Verdana" w:cs="Verdana"/>
          <w:sz w:val="20"/>
          <w:szCs w:val="20"/>
          <w:highlight w:val="none"/>
          <w:u w:val="none"/>
          <w:lang w:val="en-GB"/>
        </w:rPr>
      </w:pPr>
      <w:r>
        <w:rPr>
          <w:rFonts w:hint="default" w:ascii="Verdana" w:hAnsi="Verdana" w:cs="Arial"/>
          <w:b w:val="0"/>
          <w:bCs/>
          <w:sz w:val="20"/>
          <w:szCs w:val="20"/>
          <w:u w:val="single"/>
          <w:vertAlign w:val="baseline"/>
          <w:lang w:val="en-GB"/>
        </w:rPr>
        <w:t>N/94/00038/FUL</w:t>
      </w:r>
      <w:r>
        <w:rPr>
          <w:rFonts w:hint="default" w:ascii="Verdana" w:hAnsi="Verdana" w:cs="Arial"/>
          <w:b w:val="0"/>
          <w:bCs/>
          <w:sz w:val="20"/>
          <w:szCs w:val="20"/>
          <w:u w:val="none"/>
          <w:vertAlign w:val="baseline"/>
          <w:lang w:val="en-GB"/>
        </w:rPr>
        <w:t xml:space="preserve">; </w:t>
      </w:r>
      <w:r>
        <w:rPr>
          <w:rFonts w:hint="default" w:ascii="Verdana" w:hAnsi="Verdana" w:cs="Arial"/>
          <w:b w:val="0"/>
          <w:bCs/>
          <w:i/>
          <w:iCs/>
          <w:sz w:val="20"/>
          <w:szCs w:val="20"/>
          <w:u w:val="none"/>
          <w:vertAlign w:val="baseline"/>
          <w:lang w:val="en-GB"/>
        </w:rPr>
        <w:t xml:space="preserve">Change of use of Cow Byre to additional residential accommodation. Erection of agricultural building. </w:t>
      </w:r>
      <w:r>
        <w:rPr>
          <w:rFonts w:hint="default" w:ascii="Verdana" w:hAnsi="Verdana" w:cs="Arial"/>
          <w:b w:val="0"/>
          <w:bCs/>
          <w:sz w:val="20"/>
          <w:szCs w:val="20"/>
          <w:u w:val="none"/>
          <w:vertAlign w:val="baseline"/>
          <w:lang w:val="en-GB"/>
        </w:rPr>
        <w:t>Application granted, 5th May 1994.</w:t>
      </w:r>
    </w:p>
    <w:p w14:paraId="610AF221">
      <w:pPr>
        <w:numPr>
          <w:ilvl w:val="0"/>
          <w:numId w:val="0"/>
        </w:numPr>
        <w:spacing w:line="240" w:lineRule="auto"/>
        <w:ind w:leftChars="0"/>
        <w:jc w:val="both"/>
        <w:rPr>
          <w:rFonts w:hint="default" w:ascii="Verdana" w:hAnsi="Verdana" w:cs="Arial"/>
          <w:b w:val="0"/>
          <w:bCs/>
          <w:sz w:val="20"/>
          <w:szCs w:val="20"/>
          <w:u w:val="none"/>
          <w:vertAlign w:val="baseline"/>
          <w:lang w:val="en-GB"/>
        </w:rPr>
      </w:pPr>
      <w:r>
        <w:rPr>
          <w:rFonts w:hint="default" w:ascii="Verdana" w:hAnsi="Verdana" w:cs="Arial"/>
          <w:b w:val="0"/>
          <w:bCs/>
          <w:sz w:val="20"/>
          <w:szCs w:val="20"/>
          <w:u w:val="single"/>
          <w:vertAlign w:val="baseline"/>
          <w:lang w:val="en-GB"/>
        </w:rPr>
        <w:t>N/94/00039/LBC</w:t>
      </w:r>
      <w:r>
        <w:rPr>
          <w:rFonts w:hint="default" w:ascii="Verdana" w:hAnsi="Verdana" w:cs="Arial"/>
          <w:b w:val="0"/>
          <w:bCs/>
          <w:sz w:val="20"/>
          <w:szCs w:val="20"/>
          <w:u w:val="none"/>
          <w:vertAlign w:val="baseline"/>
          <w:lang w:val="en-GB"/>
        </w:rPr>
        <w:t xml:space="preserve">; </w:t>
      </w:r>
      <w:r>
        <w:rPr>
          <w:rFonts w:hint="default" w:ascii="Verdana" w:hAnsi="Verdana" w:cs="Arial"/>
          <w:b w:val="0"/>
          <w:bCs/>
          <w:i/>
          <w:iCs/>
          <w:sz w:val="20"/>
          <w:szCs w:val="20"/>
          <w:u w:val="none"/>
          <w:vertAlign w:val="baseline"/>
          <w:lang w:val="en-GB"/>
        </w:rPr>
        <w:t xml:space="preserve">Refurbishment and extension to farmhouse and change of use of cow byre to additional accommodation/demolitions of outbuildings alterations/demolish outbuildings. </w:t>
      </w:r>
      <w:r>
        <w:rPr>
          <w:rFonts w:hint="default" w:ascii="Verdana" w:hAnsi="Verdana" w:cs="Arial"/>
          <w:b w:val="0"/>
          <w:bCs/>
          <w:i w:val="0"/>
          <w:iCs w:val="0"/>
          <w:sz w:val="20"/>
          <w:szCs w:val="20"/>
          <w:u w:val="none"/>
          <w:vertAlign w:val="baseline"/>
          <w:lang w:val="en-GB"/>
        </w:rPr>
        <w:t>Approved, 4</w:t>
      </w:r>
      <w:r>
        <w:rPr>
          <w:rFonts w:hint="default" w:ascii="Verdana" w:hAnsi="Verdana" w:cs="Arial"/>
          <w:b w:val="0"/>
          <w:bCs/>
          <w:i w:val="0"/>
          <w:iCs w:val="0"/>
          <w:sz w:val="20"/>
          <w:szCs w:val="20"/>
          <w:u w:val="none"/>
          <w:vertAlign w:val="superscript"/>
          <w:lang w:val="en-GB"/>
        </w:rPr>
        <w:t>th</w:t>
      </w:r>
      <w:r>
        <w:rPr>
          <w:rFonts w:hint="default" w:ascii="Verdana" w:hAnsi="Verdana" w:cs="Arial"/>
          <w:b w:val="0"/>
          <w:bCs/>
          <w:i w:val="0"/>
          <w:iCs w:val="0"/>
          <w:sz w:val="20"/>
          <w:szCs w:val="20"/>
          <w:u w:val="none"/>
          <w:vertAlign w:val="baseline"/>
          <w:lang w:val="en-GB"/>
        </w:rPr>
        <w:t xml:space="preserve"> May 1994.</w:t>
      </w:r>
    </w:p>
    <w:p w14:paraId="47384468">
      <w:pPr>
        <w:numPr>
          <w:ilvl w:val="0"/>
          <w:numId w:val="0"/>
        </w:numPr>
        <w:spacing w:line="240" w:lineRule="auto"/>
        <w:ind w:leftChars="0"/>
        <w:jc w:val="both"/>
        <w:rPr>
          <w:rFonts w:hint="default" w:ascii="Verdana" w:hAnsi="Verdana" w:eastAsia="SimSun" w:cs="Verdana"/>
          <w:color w:val="000000"/>
          <w:kern w:val="0"/>
          <w:sz w:val="20"/>
          <w:szCs w:val="20"/>
          <w:lang w:val="en-US" w:eastAsia="zh-CN" w:bidi="ar"/>
        </w:rPr>
      </w:pPr>
      <w:r>
        <w:rPr>
          <w:rFonts w:hint="default" w:ascii="Verdana" w:hAnsi="Verdana" w:cs="Arial"/>
          <w:b w:val="0"/>
          <w:bCs/>
          <w:sz w:val="20"/>
          <w:szCs w:val="20"/>
          <w:u w:val="single"/>
          <w:vertAlign w:val="baseline"/>
          <w:lang w:val="en-GB"/>
        </w:rPr>
        <w:t>N/96/02358/LBC</w:t>
      </w:r>
      <w:r>
        <w:rPr>
          <w:rFonts w:hint="default" w:ascii="Verdana" w:hAnsi="Verdana" w:cs="Arial"/>
          <w:b w:val="0"/>
          <w:bCs/>
          <w:sz w:val="20"/>
          <w:szCs w:val="20"/>
          <w:u w:val="none"/>
          <w:vertAlign w:val="baseline"/>
          <w:lang w:val="en-GB"/>
        </w:rPr>
        <w:t xml:space="preserve">; </w:t>
      </w:r>
      <w:r>
        <w:rPr>
          <w:rFonts w:hint="default" w:ascii="Verdana" w:hAnsi="Verdana" w:cs="Arial"/>
          <w:b w:val="0"/>
          <w:bCs/>
          <w:i/>
          <w:iCs/>
          <w:sz w:val="20"/>
          <w:szCs w:val="20"/>
          <w:u w:val="none"/>
          <w:vertAlign w:val="baseline"/>
          <w:lang w:val="en-GB"/>
        </w:rPr>
        <w:t xml:space="preserve">Minor Amendments to approved plans N/94/0039/LB. </w:t>
      </w:r>
      <w:r>
        <w:rPr>
          <w:rFonts w:hint="default" w:ascii="Verdana" w:hAnsi="Verdana" w:cs="Arial"/>
          <w:b w:val="0"/>
          <w:bCs/>
          <w:i w:val="0"/>
          <w:iCs w:val="0"/>
          <w:sz w:val="20"/>
          <w:szCs w:val="20"/>
          <w:u w:val="none"/>
          <w:vertAlign w:val="baseline"/>
          <w:lang w:val="en-GB"/>
        </w:rPr>
        <w:t>Unknown, 29/01/1997.</w:t>
      </w:r>
    </w:p>
    <w:p w14:paraId="407878F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b/>
          <w:bCs/>
          <w:color w:val="000000"/>
          <w:kern w:val="0"/>
          <w:sz w:val="20"/>
          <w:szCs w:val="20"/>
          <w:u w:val="single"/>
          <w:lang w:val="en-US" w:eastAsia="zh-CN" w:bidi="ar"/>
        </w:rPr>
        <w:t>Proposa</w:t>
      </w:r>
      <w:r>
        <w:rPr>
          <w:rFonts w:hint="default" w:ascii="Verdana" w:hAnsi="Verdana" w:eastAsia="SimSun" w:cs="Verdana"/>
          <w:b/>
          <w:bCs/>
          <w:color w:val="000000"/>
          <w:kern w:val="0"/>
          <w:sz w:val="20"/>
          <w:szCs w:val="20"/>
          <w:u w:val="single"/>
          <w:lang w:val="en-GB" w:eastAsia="zh-CN" w:bidi="ar"/>
        </w:rPr>
        <w:t>l</w:t>
      </w:r>
    </w:p>
    <w:p w14:paraId="5223FEC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US" w:eastAsia="zh-CN" w:bidi="ar"/>
        </w:rPr>
        <w:t>Th</w:t>
      </w:r>
      <w:r>
        <w:rPr>
          <w:rFonts w:hint="default" w:ascii="Verdana" w:hAnsi="Verdana" w:eastAsia="SimSun" w:cs="Verdana"/>
          <w:color w:val="000000"/>
          <w:kern w:val="0"/>
          <w:sz w:val="20"/>
          <w:szCs w:val="20"/>
          <w:lang w:val="en-GB" w:eastAsia="zh-CN" w:bidi="ar"/>
        </w:rPr>
        <w:t>is is a retrospective application for an equestrian arena. The original arena was constructed in about 1993 so is to be considered lawful by virtue of the ‘10-year rule’. The extension of the arena as shown on the plan was created within the last year or so. In the context of the original, lawful, arena, the extension has no significant impact on the surrounding area.</w:t>
      </w:r>
      <w:r>
        <w:rPr>
          <w:rFonts w:hint="default" w:ascii="Verdana" w:hAnsi="Verdana" w:eastAsia="SimSun" w:cs="Verdana"/>
          <w:color w:val="000000"/>
          <w:kern w:val="0"/>
          <w:sz w:val="20"/>
          <w:szCs w:val="20"/>
          <w:lang w:val="en-US" w:eastAsia="zh-CN" w:bidi="ar"/>
        </w:rPr>
        <w:t xml:space="preserve"> The riding arena</w:t>
      </w:r>
      <w:r>
        <w:rPr>
          <w:rFonts w:hint="default" w:ascii="Verdana" w:hAnsi="Verdana" w:eastAsia="SimSun" w:cs="Verdana"/>
          <w:color w:val="000000"/>
          <w:kern w:val="0"/>
          <w:sz w:val="20"/>
          <w:szCs w:val="20"/>
          <w:lang w:val="en-GB" w:eastAsia="zh-CN" w:bidi="ar"/>
        </w:rPr>
        <w:t xml:space="preserve"> is not</w:t>
      </w:r>
      <w:r>
        <w:rPr>
          <w:rFonts w:hint="default" w:ascii="Verdana" w:hAnsi="Verdana" w:eastAsia="SimSun" w:cs="Verdana"/>
          <w:color w:val="000000"/>
          <w:kern w:val="0"/>
          <w:sz w:val="20"/>
          <w:szCs w:val="20"/>
          <w:lang w:val="en-US" w:eastAsia="zh-CN" w:bidi="ar"/>
        </w:rPr>
        <w:t xml:space="preserve"> enclosed</w:t>
      </w:r>
      <w:r>
        <w:rPr>
          <w:rFonts w:hint="default" w:ascii="Verdana" w:hAnsi="Verdana" w:eastAsia="SimSun" w:cs="Verdana"/>
          <w:color w:val="000000"/>
          <w:kern w:val="0"/>
          <w:sz w:val="20"/>
          <w:szCs w:val="20"/>
          <w:lang w:val="en-GB" w:eastAsia="zh-CN" w:bidi="ar"/>
        </w:rPr>
        <w:t>, but does have mirrored ‘barriers’ around some edges for the purposes of dressage (which, again, have been in place for more than 10 years and are therefore considered to be lawful.</w:t>
      </w:r>
    </w:p>
    <w:p w14:paraId="7F97A7B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4FE8524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The original arena measures 60m by 31m (approx.) with the extension to it being 60m by 10m.</w:t>
      </w:r>
    </w:p>
    <w:p w14:paraId="0244C0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0CDD9C4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The fallback option, should this application not be successful, is for the applicant to make a certificate of lawfulness application for the original arena. However, for the sake of expediency, this route to a planning permission for the whole of the development is considered most appropriate for all parties.</w:t>
      </w:r>
    </w:p>
    <w:p w14:paraId="733897DC">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Contd…/</w:t>
      </w:r>
    </w:p>
    <w:p w14:paraId="75B5FA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- 2 -</w:t>
      </w:r>
    </w:p>
    <w:p w14:paraId="37FC548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297E37F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Planning Services, Wiltshire Council</w:t>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 xml:space="preserve">      13</w:t>
      </w:r>
      <w:r>
        <w:rPr>
          <w:rFonts w:hint="default" w:ascii="Verdana" w:hAnsi="Verdana" w:eastAsia="SimSun" w:cs="Verdana"/>
          <w:color w:val="000000"/>
          <w:kern w:val="0"/>
          <w:sz w:val="20"/>
          <w:szCs w:val="20"/>
          <w:vertAlign w:val="superscript"/>
          <w:lang w:val="en-GB" w:eastAsia="zh-CN" w:bidi="ar"/>
        </w:rPr>
        <w:t>th</w:t>
      </w:r>
      <w:r>
        <w:rPr>
          <w:rFonts w:hint="default" w:ascii="Verdana" w:hAnsi="Verdana" w:eastAsia="SimSun" w:cs="Verdana"/>
          <w:color w:val="000000"/>
          <w:kern w:val="0"/>
          <w:sz w:val="20"/>
          <w:szCs w:val="20"/>
          <w:lang w:val="en-GB" w:eastAsia="zh-CN" w:bidi="ar"/>
        </w:rPr>
        <w:t xml:space="preserve"> November 2025</w:t>
      </w:r>
    </w:p>
    <w:p w14:paraId="0DB81E3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033E076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lang w:val="en-GB" w:eastAsia="zh-CN" w:bidi="ar"/>
        </w:rPr>
      </w:pPr>
      <w:r>
        <w:rPr>
          <w:rFonts w:hint="default" w:ascii="Verdana" w:hAnsi="Verdana" w:eastAsia="SimSun" w:cs="Verdana"/>
          <w:b/>
          <w:bCs/>
          <w:color w:val="000000"/>
          <w:kern w:val="0"/>
          <w:sz w:val="20"/>
          <w:szCs w:val="20"/>
          <w:lang w:val="en-GB" w:eastAsia="zh-CN" w:bidi="ar"/>
        </w:rPr>
        <w:t>Equestrian arena (retrospective), Lock Farm, Foxham, SN15 4NL</w:t>
      </w:r>
    </w:p>
    <w:p w14:paraId="57D9399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2445C72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Due to the use of the arena mainly being for the applicants eventing business (as well as personal use) we do not consider use restrictions to be necessary and we trust that the local planning authority would agree.</w:t>
      </w:r>
    </w:p>
    <w:p w14:paraId="5DD1A07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030085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Access</w:t>
      </w:r>
      <w:r>
        <w:rPr>
          <w:rFonts w:hint="default" w:ascii="Verdana" w:hAnsi="Verdana" w:eastAsia="SimSun" w:cs="Verdana"/>
          <w:color w:val="000000"/>
          <w:kern w:val="0"/>
          <w:sz w:val="20"/>
          <w:szCs w:val="20"/>
          <w:lang w:val="en-US" w:eastAsia="zh-CN" w:bidi="ar"/>
        </w:rPr>
        <w:t xml:space="preserve"> </w:t>
      </w:r>
    </w:p>
    <w:p w14:paraId="15D20E39">
      <w:pPr>
        <w:numPr>
          <w:ilvl w:val="0"/>
          <w:numId w:val="0"/>
        </w:numPr>
        <w:spacing w:line="240" w:lineRule="auto"/>
        <w:ind w:leftChars="0"/>
        <w:jc w:val="both"/>
        <w:rPr>
          <w:rFonts w:hint="default" w:ascii="Verdana" w:hAnsi="Verdana" w:cs="Verdana"/>
          <w:b w:val="0"/>
          <w:bCs w:val="0"/>
          <w:sz w:val="20"/>
          <w:szCs w:val="20"/>
          <w:u w:val="none"/>
          <w:lang w:val="en-GB"/>
        </w:rPr>
      </w:pPr>
      <w:r>
        <w:rPr>
          <w:rFonts w:hint="default" w:ascii="Verdana" w:hAnsi="Verdana" w:cs="Verdana"/>
          <w:b w:val="0"/>
          <w:bCs w:val="0"/>
          <w:sz w:val="20"/>
          <w:szCs w:val="20"/>
          <w:u w:val="none"/>
          <w:lang w:val="en-GB"/>
        </w:rPr>
        <w:t xml:space="preserve">The arena is accessed via the yard between the main farm buildings of Lock Farm. Section 5 (Movement) of Wiltshire’s Design Guide provides further guidance on transport/connectivity regarding Core Policy 57. This includes efficient movement patterns, including walking, cycling and driving. It is important how the transport network contributes to the quality and character of the environment. </w:t>
      </w:r>
    </w:p>
    <w:p w14:paraId="02EE7B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b w:val="0"/>
          <w:bCs w:val="0"/>
          <w:sz w:val="20"/>
          <w:szCs w:val="20"/>
          <w:u w:val="none"/>
          <w:lang w:val="en-GB"/>
        </w:rPr>
      </w:pPr>
      <w:r>
        <w:rPr>
          <w:rFonts w:hint="default" w:ascii="Verdana" w:hAnsi="Verdana" w:cs="Verdana"/>
          <w:b w:val="0"/>
          <w:bCs w:val="0"/>
          <w:sz w:val="20"/>
          <w:szCs w:val="20"/>
          <w:u w:val="none"/>
          <w:lang w:val="en-GB"/>
        </w:rPr>
        <w:t>The arena does not result in any extra employees on site. There are no regular deliveries to the site. There is no significant harm to any matters of highway safety, with respect to paragraph 113 of the NPPF.</w:t>
      </w:r>
    </w:p>
    <w:p w14:paraId="5D786B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b w:val="0"/>
          <w:bCs w:val="0"/>
          <w:sz w:val="20"/>
          <w:szCs w:val="20"/>
          <w:u w:val="none"/>
          <w:lang w:val="en-US" w:eastAsia="zh-CN"/>
        </w:rPr>
      </w:pPr>
    </w:p>
    <w:p w14:paraId="7D58BB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Planning Policy</w:t>
      </w:r>
      <w:r>
        <w:rPr>
          <w:rFonts w:hint="default" w:ascii="Verdana" w:hAnsi="Verdana" w:eastAsia="SimSun" w:cs="Verdana"/>
          <w:color w:val="000000"/>
          <w:kern w:val="0"/>
          <w:sz w:val="20"/>
          <w:szCs w:val="20"/>
          <w:lang w:val="en-US" w:eastAsia="zh-CN" w:bidi="ar"/>
        </w:rPr>
        <w:t xml:space="preserve"> </w:t>
      </w:r>
    </w:p>
    <w:p w14:paraId="3FBD18A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The development proposed for the site need</w:t>
      </w:r>
      <w:r>
        <w:rPr>
          <w:rFonts w:hint="default" w:ascii="Verdana" w:hAnsi="Verdana" w:eastAsia="SimSun" w:cs="Verdana"/>
          <w:color w:val="000000"/>
          <w:kern w:val="0"/>
          <w:sz w:val="20"/>
          <w:szCs w:val="20"/>
          <w:lang w:val="en-GB" w:eastAsia="zh-CN" w:bidi="ar"/>
        </w:rPr>
        <w:t>s</w:t>
      </w:r>
      <w:r>
        <w:rPr>
          <w:rFonts w:hint="default" w:ascii="Verdana" w:hAnsi="Verdana" w:eastAsia="SimSun" w:cs="Verdana"/>
          <w:color w:val="000000"/>
          <w:kern w:val="0"/>
          <w:sz w:val="20"/>
          <w:szCs w:val="20"/>
          <w:lang w:val="en-US" w:eastAsia="zh-CN" w:bidi="ar"/>
        </w:rPr>
        <w:t xml:space="preserve"> to take account of relevant national </w:t>
      </w:r>
      <w:r>
        <w:rPr>
          <w:rFonts w:hint="default" w:ascii="Verdana" w:hAnsi="Verdana" w:eastAsia="SimSun" w:cs="Verdana"/>
          <w:color w:val="000000"/>
          <w:kern w:val="0"/>
          <w:sz w:val="20"/>
          <w:szCs w:val="20"/>
          <w:lang w:val="en-GB" w:eastAsia="zh-CN" w:bidi="ar"/>
        </w:rPr>
        <w:t xml:space="preserve">and local </w:t>
      </w:r>
      <w:r>
        <w:rPr>
          <w:rFonts w:hint="default" w:ascii="Verdana" w:hAnsi="Verdana" w:eastAsia="SimSun" w:cs="Verdana"/>
          <w:color w:val="000000"/>
          <w:kern w:val="0"/>
          <w:sz w:val="20"/>
          <w:szCs w:val="20"/>
          <w:lang w:val="en-US" w:eastAsia="zh-CN" w:bidi="ar"/>
        </w:rPr>
        <w:t>planning policy</w:t>
      </w:r>
      <w:r>
        <w:rPr>
          <w:rFonts w:hint="default" w:ascii="Verdana" w:hAnsi="Verdana" w:eastAsia="SimSun" w:cs="Verdana"/>
          <w:color w:val="000000"/>
          <w:kern w:val="0"/>
          <w:sz w:val="20"/>
          <w:szCs w:val="20"/>
          <w:lang w:val="en-GB" w:eastAsia="zh-CN" w:bidi="ar"/>
        </w:rPr>
        <w:t xml:space="preserve"> guidance</w:t>
      </w:r>
      <w:r>
        <w:rPr>
          <w:rFonts w:hint="default" w:ascii="Verdana" w:hAnsi="Verdana" w:eastAsia="SimSun" w:cs="Verdana"/>
          <w:color w:val="000000"/>
          <w:kern w:val="0"/>
          <w:sz w:val="20"/>
          <w:szCs w:val="20"/>
          <w:lang w:val="en-US" w:eastAsia="zh-CN" w:bidi="ar"/>
        </w:rPr>
        <w:t xml:space="preserve">. This section of the design and access statement (covering letter) sets out a brief summary of the relevant planning policy documents, whilst the following section demonstrates compliance with these policies. </w:t>
      </w:r>
    </w:p>
    <w:p w14:paraId="516664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CC795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 xml:space="preserve">The National Planning Policy Framework (Updated </w:t>
      </w:r>
      <w:r>
        <w:rPr>
          <w:rFonts w:hint="default" w:ascii="Verdana" w:hAnsi="Verdana" w:eastAsia="SimSun" w:cs="Verdana"/>
          <w:b/>
          <w:bCs/>
          <w:color w:val="000000"/>
          <w:kern w:val="0"/>
          <w:sz w:val="20"/>
          <w:szCs w:val="20"/>
          <w:u w:val="single"/>
          <w:lang w:val="en-GB" w:eastAsia="zh-CN" w:bidi="ar"/>
        </w:rPr>
        <w:t xml:space="preserve">December </w:t>
      </w:r>
      <w:r>
        <w:rPr>
          <w:rFonts w:hint="default" w:ascii="Verdana" w:hAnsi="Verdana" w:eastAsia="SimSun" w:cs="Verdana"/>
          <w:b/>
          <w:bCs/>
          <w:color w:val="000000"/>
          <w:kern w:val="0"/>
          <w:sz w:val="20"/>
          <w:szCs w:val="20"/>
          <w:u w:val="single"/>
          <w:lang w:val="en-US" w:eastAsia="zh-CN" w:bidi="ar"/>
        </w:rPr>
        <w:t>202</w:t>
      </w:r>
      <w:r>
        <w:rPr>
          <w:rFonts w:hint="default" w:ascii="Verdana" w:hAnsi="Verdana" w:eastAsia="SimSun" w:cs="Verdana"/>
          <w:b/>
          <w:bCs/>
          <w:color w:val="000000"/>
          <w:kern w:val="0"/>
          <w:sz w:val="20"/>
          <w:szCs w:val="20"/>
          <w:u w:val="single"/>
          <w:lang w:val="en-GB" w:eastAsia="zh-CN" w:bidi="ar"/>
        </w:rPr>
        <w:t>4</w:t>
      </w:r>
      <w:r>
        <w:rPr>
          <w:rFonts w:hint="default" w:ascii="Verdana" w:hAnsi="Verdana" w:eastAsia="SimSun" w:cs="Verdana"/>
          <w:b/>
          <w:bCs/>
          <w:color w:val="000000"/>
          <w:kern w:val="0"/>
          <w:sz w:val="20"/>
          <w:szCs w:val="20"/>
          <w:u w:val="single"/>
          <w:lang w:val="en-US" w:eastAsia="zh-CN" w:bidi="ar"/>
        </w:rPr>
        <w:t>)</w:t>
      </w:r>
      <w:r>
        <w:rPr>
          <w:rFonts w:hint="default" w:ascii="Verdana" w:hAnsi="Verdana" w:eastAsia="SimSun" w:cs="Verdana"/>
          <w:color w:val="000000"/>
          <w:kern w:val="0"/>
          <w:sz w:val="20"/>
          <w:szCs w:val="20"/>
          <w:lang w:val="en-US" w:eastAsia="zh-CN" w:bidi="ar"/>
        </w:rPr>
        <w:t xml:space="preserve"> </w:t>
      </w:r>
    </w:p>
    <w:p w14:paraId="429E506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The NPPF is clear that the purpose of the planning system is to encourage local planning authorities to support sustainable development (which is achieved through securing various interdependent economic, social and environmental objectives). So that sustainable development is pursued in a positive way, at the heart of the framework is a presumption in favour of sustainable development. For decision-taking this means approving development proposals that accord with an up-to-date Development Plan without delay. </w:t>
      </w:r>
    </w:p>
    <w:p w14:paraId="2C172B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2FD9813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Paragraph 11 identifies that planning should presume in favour of sustainable development. </w:t>
      </w:r>
    </w:p>
    <w:p w14:paraId="2B5CB80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lang w:val="en-US" w:eastAsia="zh-CN" w:bidi="ar"/>
        </w:rPr>
      </w:pPr>
    </w:p>
    <w:p w14:paraId="7170D39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r>
        <w:rPr>
          <w:rFonts w:hint="default" w:ascii="Verdana" w:hAnsi="Verdana" w:eastAsia="SimSun" w:cs="Verdana"/>
          <w:b/>
          <w:bCs/>
          <w:i/>
          <w:iCs/>
          <w:color w:val="000000"/>
          <w:kern w:val="0"/>
          <w:sz w:val="20"/>
          <w:szCs w:val="20"/>
          <w:lang w:val="en-US" w:eastAsia="zh-CN" w:bidi="ar"/>
        </w:rPr>
        <w:t xml:space="preserve">“All plans should promote a sustainable pattern of development that seeks to: meet the development needs of their area; align growth and infrastructure; improve the environment; mitigate climate change (including by making effective use of land in urban areas) and adapt to it’s effects.” </w:t>
      </w:r>
    </w:p>
    <w:p w14:paraId="13644CB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4C6EF66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Paragraph 38 requires that decision makers: </w:t>
      </w:r>
    </w:p>
    <w:p w14:paraId="255FC7B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0F930BA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u w:val="none"/>
          <w:lang w:val="en-US" w:eastAsia="zh-CN" w:bidi="ar"/>
        </w:rPr>
      </w:pPr>
      <w:r>
        <w:rPr>
          <w:rFonts w:hint="default" w:ascii="Verdana" w:hAnsi="Verdana" w:eastAsia="SimSun" w:cs="Verdana"/>
          <w:b/>
          <w:bCs/>
          <w:i/>
          <w:iCs/>
          <w:color w:val="000000"/>
          <w:kern w:val="0"/>
          <w:sz w:val="20"/>
          <w:szCs w:val="20"/>
          <w:u w:val="none"/>
          <w:lang w:val="en-US" w:eastAsia="zh-CN" w:bidi="ar"/>
        </w:rPr>
        <w:t xml:space="preserve">“Should approach decisions on proposed development in a positive and creative way; Work proactively with applicants to secure development that will improve the economic, social and environmental conditions of the area; and, Seek to approve applications for sustainable development where possible’’. </w:t>
      </w:r>
    </w:p>
    <w:p w14:paraId="5F6970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73FAC9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Paragraph 47 Determining applications:</w:t>
      </w:r>
    </w:p>
    <w:p w14:paraId="0D5B9E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1F24A17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r>
        <w:rPr>
          <w:rFonts w:hint="default" w:ascii="Verdana" w:hAnsi="Verdana" w:eastAsia="SimSun" w:cs="Verdana"/>
          <w:b/>
          <w:bCs/>
          <w:i/>
          <w:iCs/>
          <w:color w:val="000000"/>
          <w:kern w:val="0"/>
          <w:sz w:val="20"/>
          <w:szCs w:val="20"/>
          <w:lang w:val="en-US" w:eastAsia="zh-CN" w:bidi="ar"/>
        </w:rPr>
        <w:t xml:space="preserve">“Planning law requires that applications for planning permission be determined in accordance with the development plan, unless material considerations </w:t>
      </w:r>
    </w:p>
    <w:p w14:paraId="40FD2AD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p>
    <w:p w14:paraId="75432A73">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Contd…/</w:t>
      </w:r>
    </w:p>
    <w:p w14:paraId="71D097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- 3 -</w:t>
      </w:r>
    </w:p>
    <w:p w14:paraId="4523D6D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092797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Planning Services, Wiltshire Council</w:t>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 xml:space="preserve">      13</w:t>
      </w:r>
      <w:r>
        <w:rPr>
          <w:rFonts w:hint="default" w:ascii="Verdana" w:hAnsi="Verdana" w:eastAsia="SimSun" w:cs="Verdana"/>
          <w:color w:val="000000"/>
          <w:kern w:val="0"/>
          <w:sz w:val="20"/>
          <w:szCs w:val="20"/>
          <w:vertAlign w:val="superscript"/>
          <w:lang w:val="en-GB" w:eastAsia="zh-CN" w:bidi="ar"/>
        </w:rPr>
        <w:t>th</w:t>
      </w:r>
      <w:r>
        <w:rPr>
          <w:rFonts w:hint="default" w:ascii="Verdana" w:hAnsi="Verdana" w:eastAsia="SimSun" w:cs="Verdana"/>
          <w:color w:val="000000"/>
          <w:kern w:val="0"/>
          <w:sz w:val="20"/>
          <w:szCs w:val="20"/>
          <w:lang w:val="en-GB" w:eastAsia="zh-CN" w:bidi="ar"/>
        </w:rPr>
        <w:t xml:space="preserve"> November 2025</w:t>
      </w:r>
    </w:p>
    <w:p w14:paraId="44DAADD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792BB7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lang w:val="en-GB" w:eastAsia="zh-CN" w:bidi="ar"/>
        </w:rPr>
      </w:pPr>
      <w:r>
        <w:rPr>
          <w:rFonts w:hint="default" w:ascii="Verdana" w:hAnsi="Verdana" w:eastAsia="SimSun" w:cs="Verdana"/>
          <w:b/>
          <w:bCs/>
          <w:color w:val="000000"/>
          <w:kern w:val="0"/>
          <w:sz w:val="20"/>
          <w:szCs w:val="20"/>
          <w:lang w:val="en-GB" w:eastAsia="zh-CN" w:bidi="ar"/>
        </w:rPr>
        <w:t>Equestrian arena (retrospective), Lock Farm, Foxham, SN15 4NL</w:t>
      </w:r>
    </w:p>
    <w:p w14:paraId="68A9F66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p>
    <w:p w14:paraId="784800E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p>
    <w:p w14:paraId="48DB28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r>
        <w:rPr>
          <w:rFonts w:hint="default" w:ascii="Verdana" w:hAnsi="Verdana" w:eastAsia="SimSun" w:cs="Verdana"/>
          <w:b/>
          <w:bCs/>
          <w:i/>
          <w:iCs/>
          <w:color w:val="000000"/>
          <w:kern w:val="0"/>
          <w:sz w:val="20"/>
          <w:szCs w:val="20"/>
          <w:lang w:val="en-US" w:eastAsia="zh-CN" w:bidi="ar"/>
        </w:rPr>
        <w:t xml:space="preserve">indicate otherwise. Decisions on applications should be made as quickly as possible, and within the statutory time scales unless a longer period has been agreed by the applicant in writing.” </w:t>
      </w:r>
    </w:p>
    <w:p w14:paraId="1F7038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3FBC45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rPr>
      </w:pPr>
      <w:r>
        <w:rPr>
          <w:rFonts w:hint="default" w:ascii="Verdana" w:hAnsi="Verdana" w:eastAsia="SimSun" w:cs="Verdana"/>
          <w:color w:val="000000"/>
          <w:kern w:val="0"/>
          <w:sz w:val="20"/>
          <w:szCs w:val="20"/>
          <w:lang w:val="en-US" w:eastAsia="zh-CN" w:bidi="ar"/>
        </w:rPr>
        <w:t xml:space="preserve">Comment: This application will be made in accordance with the NPPF. </w:t>
      </w:r>
    </w:p>
    <w:p w14:paraId="0EE6AD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 </w:t>
      </w:r>
    </w:p>
    <w:p w14:paraId="517B7B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Paragraph 84: Supporting a prosperous rural economy </w:t>
      </w:r>
    </w:p>
    <w:p w14:paraId="0218447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b/>
          <w:bCs/>
          <w:i/>
          <w:iCs/>
          <w:sz w:val="20"/>
          <w:szCs w:val="20"/>
        </w:rPr>
      </w:pPr>
      <w:r>
        <w:rPr>
          <w:rFonts w:hint="default" w:ascii="Verdana" w:hAnsi="Verdana" w:eastAsia="SimSun" w:cs="Verdana"/>
          <w:b/>
          <w:bCs/>
          <w:i/>
          <w:iCs/>
          <w:color w:val="000000"/>
          <w:kern w:val="0"/>
          <w:sz w:val="20"/>
          <w:szCs w:val="20"/>
          <w:lang w:val="en-US" w:eastAsia="zh-CN" w:bidi="ar"/>
        </w:rPr>
        <w:t xml:space="preserve">“Planning policies and decisions should enable: (a) the sustainable growth and expansion of all types of business in rural areas, both through conversion of existing buildings and well-designed new buildings; and, (b) the development and diversification of agricultural and other land- </w:t>
      </w:r>
    </w:p>
    <w:p w14:paraId="66BF0C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b/>
          <w:bCs/>
          <w:i/>
          <w:iCs/>
          <w:color w:val="000000"/>
          <w:kern w:val="0"/>
          <w:sz w:val="20"/>
          <w:szCs w:val="20"/>
          <w:lang w:val="en-US" w:eastAsia="zh-CN" w:bidi="ar"/>
        </w:rPr>
      </w:pPr>
      <w:r>
        <w:rPr>
          <w:rFonts w:hint="default" w:ascii="Verdana" w:hAnsi="Verdana" w:eastAsia="SimSun" w:cs="Verdana"/>
          <w:b/>
          <w:bCs/>
          <w:i/>
          <w:iCs/>
          <w:color w:val="000000"/>
          <w:kern w:val="0"/>
          <w:sz w:val="20"/>
          <w:szCs w:val="20"/>
          <w:lang w:val="en-US" w:eastAsia="zh-CN" w:bidi="ar"/>
        </w:rPr>
        <w:t xml:space="preserve">based rural businesses.” </w:t>
      </w:r>
    </w:p>
    <w:p w14:paraId="2B931F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5993D84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US" w:eastAsia="zh-CN" w:bidi="ar"/>
        </w:rPr>
        <w:t xml:space="preserve">Comment: This proposal will help expand the </w:t>
      </w:r>
      <w:r>
        <w:rPr>
          <w:rFonts w:hint="default" w:ascii="Verdana" w:hAnsi="Verdana" w:eastAsia="SimSun" w:cs="Verdana"/>
          <w:color w:val="000000"/>
          <w:kern w:val="0"/>
          <w:sz w:val="20"/>
          <w:szCs w:val="20"/>
          <w:lang w:val="en-GB" w:eastAsia="zh-CN" w:bidi="ar"/>
        </w:rPr>
        <w:t>applicants</w:t>
      </w:r>
      <w:r>
        <w:rPr>
          <w:rFonts w:hint="default" w:ascii="Verdana" w:hAnsi="Verdana" w:eastAsia="SimSun" w:cs="Verdana"/>
          <w:color w:val="000000"/>
          <w:kern w:val="0"/>
          <w:sz w:val="20"/>
          <w:szCs w:val="20"/>
          <w:lang w:val="en-US" w:eastAsia="zh-CN" w:bidi="ar"/>
        </w:rPr>
        <w:t xml:space="preserve"> capacity </w:t>
      </w:r>
      <w:r>
        <w:rPr>
          <w:rFonts w:hint="default" w:ascii="Verdana" w:hAnsi="Verdana" w:eastAsia="SimSun" w:cs="Verdana"/>
          <w:color w:val="000000"/>
          <w:kern w:val="0"/>
          <w:sz w:val="20"/>
          <w:szCs w:val="20"/>
          <w:lang w:val="en-GB" w:eastAsia="zh-CN" w:bidi="ar"/>
        </w:rPr>
        <w:t>of the site.</w:t>
      </w:r>
    </w:p>
    <w:p w14:paraId="09E7BA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5F8EC35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The NPPF expects planning policies to conserve and enhance the national environments and to protect them from harm. All local authorities have a duty under Section 40 of the Natural Environment and Rural Communities Act 2005 to have regard to the conservation of biodiversity in exercising all their functions. The duty aims to make biodiversity consideration an integral part of policy and decision making. </w:t>
      </w:r>
    </w:p>
    <w:p w14:paraId="6BD26BB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2EEC424C">
      <w:pPr>
        <w:numPr>
          <w:ilvl w:val="0"/>
          <w:numId w:val="0"/>
        </w:numPr>
        <w:spacing w:line="240" w:lineRule="auto"/>
        <w:ind w:leftChars="0"/>
        <w:jc w:val="both"/>
        <w:rPr>
          <w:rFonts w:hint="default" w:ascii="Verdana" w:hAnsi="Verdana" w:cs="Verdana"/>
          <w:b/>
          <w:bCs/>
          <w:i w:val="0"/>
          <w:iCs w:val="0"/>
          <w:sz w:val="20"/>
          <w:szCs w:val="20"/>
          <w:highlight w:val="none"/>
          <w:u w:val="single"/>
          <w:lang w:val="en-GB"/>
        </w:rPr>
      </w:pPr>
      <w:r>
        <w:rPr>
          <w:rFonts w:hint="default" w:ascii="Verdana" w:hAnsi="Verdana" w:cs="Verdana"/>
          <w:b/>
          <w:bCs/>
          <w:i w:val="0"/>
          <w:iCs w:val="0"/>
          <w:sz w:val="20"/>
          <w:szCs w:val="20"/>
          <w:highlight w:val="none"/>
          <w:u w:val="single"/>
          <w:vertAlign w:val="baseline"/>
          <w:lang w:val="en-GB"/>
        </w:rPr>
        <w:t xml:space="preserve">Local Plan - </w:t>
      </w:r>
      <w:r>
        <w:rPr>
          <w:rFonts w:hint="default" w:ascii="Verdana" w:hAnsi="Verdana" w:cs="Verdana"/>
          <w:b/>
          <w:bCs/>
          <w:i w:val="0"/>
          <w:iCs w:val="0"/>
          <w:sz w:val="20"/>
          <w:szCs w:val="20"/>
          <w:highlight w:val="none"/>
          <w:u w:val="single"/>
          <w:lang w:val="en-GB"/>
        </w:rPr>
        <w:t>Wiltshire Core Strategy</w:t>
      </w:r>
    </w:p>
    <w:p w14:paraId="6AD32F9A">
      <w:pPr>
        <w:numPr>
          <w:ilvl w:val="0"/>
          <w:numId w:val="0"/>
        </w:numPr>
        <w:spacing w:line="240" w:lineRule="auto"/>
        <w:ind w:leftChars="0"/>
        <w:jc w:val="both"/>
        <w:rPr>
          <w:rFonts w:hint="default" w:ascii="Verdana" w:hAnsi="Verdana" w:cs="Verdana"/>
          <w:i w:val="0"/>
          <w:iCs w:val="0"/>
          <w:sz w:val="20"/>
          <w:szCs w:val="20"/>
          <w:u w:val="single"/>
          <w:lang w:val="en-GB"/>
        </w:rPr>
      </w:pPr>
      <w:r>
        <w:rPr>
          <w:rFonts w:hint="default" w:ascii="Verdana" w:hAnsi="Verdana" w:cs="Verdana"/>
          <w:i w:val="0"/>
          <w:iCs w:val="0"/>
          <w:sz w:val="20"/>
          <w:szCs w:val="20"/>
          <w:u w:val="none"/>
          <w:lang w:val="en-GB"/>
        </w:rPr>
        <w:t xml:space="preserve">The application site is situated within the open countryside. CP51 states development should protect, conserve and where possible enhance character and any negative impacts must be mitigated through sensible design and landscape measures. </w:t>
      </w:r>
      <w:r>
        <w:rPr>
          <w:rFonts w:hint="default" w:ascii="Verdana" w:hAnsi="Verdana" w:cs="Verdana"/>
          <w:b w:val="0"/>
          <w:bCs w:val="0"/>
          <w:i w:val="0"/>
          <w:iCs w:val="0"/>
          <w:sz w:val="20"/>
          <w:szCs w:val="20"/>
          <w:u w:val="none"/>
          <w:lang w:val="en-GB"/>
        </w:rPr>
        <w:t>Core Policy 51 states:</w:t>
      </w:r>
    </w:p>
    <w:p w14:paraId="6BF3CDFD">
      <w:pPr>
        <w:numPr>
          <w:ilvl w:val="0"/>
          <w:numId w:val="0"/>
        </w:numPr>
        <w:spacing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single"/>
          <w:lang w:val="en-GB"/>
        </w:rPr>
        <w:t>Core Policy 51: Landscape</w:t>
      </w:r>
    </w:p>
    <w:p w14:paraId="147A75B9">
      <w:pPr>
        <w:spacing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none"/>
          <w:lang w:val="en-GB"/>
        </w:rPr>
        <w:t>Development is required to protect, conserve and where possible enhance landscape character and must not have a harmful impact upon landscape character, while any negative impacts must be mitigated as far as possible through sensitive design and landscape measures. Proposals should be informed by and sympathetic to the distinctive character areas identified in the relevant Landscape Character Assessments and any other relevant assessments and studies. In particular, proposals will need to demonstrate that the following aspects of landscape character have been conserved and where possible enhanced through sensitive design, landscape mitigation and enhancement measures:</w:t>
      </w:r>
    </w:p>
    <w:p w14:paraId="762BC752">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rPr>
      </w:pPr>
      <w:r>
        <w:rPr>
          <w:rFonts w:hint="default" w:ascii="Verdana" w:hAnsi="Verdana" w:cs="Verdana"/>
          <w:i w:val="0"/>
          <w:iCs w:val="0"/>
          <w:sz w:val="20"/>
          <w:szCs w:val="20"/>
          <w:u w:val="none"/>
          <w:lang w:val="en-GB"/>
        </w:rPr>
        <w:t xml:space="preserve">The development has no significant impact on the rural landscape character of </w:t>
      </w:r>
      <w:r>
        <w:rPr>
          <w:rFonts w:hint="default" w:ascii="Verdana" w:hAnsi="Verdana" w:cs="Verdana"/>
          <w:b w:val="0"/>
          <w:bCs w:val="0"/>
          <w:i w:val="0"/>
          <w:iCs w:val="0"/>
          <w:sz w:val="20"/>
          <w:szCs w:val="20"/>
          <w:u w:val="none"/>
          <w:lang w:val="en-GB"/>
        </w:rPr>
        <w:t xml:space="preserve">the area. </w:t>
      </w:r>
      <w:r>
        <w:rPr>
          <w:rFonts w:hint="default" w:ascii="Verdana" w:hAnsi="Verdana" w:cs="Verdana"/>
          <w:sz w:val="20"/>
          <w:szCs w:val="20"/>
          <w:u w:val="none"/>
          <w:lang w:val="en-GB"/>
        </w:rPr>
        <w:t xml:space="preserve">The arena also compliments the existing character of the area. </w:t>
      </w:r>
    </w:p>
    <w:p w14:paraId="2BF74A91">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rPr>
      </w:pPr>
      <w:r>
        <w:rPr>
          <w:rFonts w:hint="default" w:ascii="Verdana" w:hAnsi="Verdana" w:cs="Verdana"/>
          <w:sz w:val="20"/>
          <w:szCs w:val="20"/>
          <w:u w:val="none"/>
          <w:vertAlign w:val="baseline"/>
          <w:lang w:val="en-GB"/>
        </w:rPr>
        <w:t xml:space="preserve">The arena respects the existing scale of the buildings nearby. Therefore, the proposal responds positively to the current layout, scale and design of the nearby buildings. </w:t>
      </w:r>
    </w:p>
    <w:p w14:paraId="28BCE23B">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rPr>
      </w:pPr>
      <w:r>
        <w:rPr>
          <w:rFonts w:hint="default" w:ascii="Verdana" w:hAnsi="Verdana" w:cs="Verdana"/>
          <w:sz w:val="20"/>
          <w:szCs w:val="20"/>
          <w:u w:val="none"/>
          <w:vertAlign w:val="baseline"/>
          <w:lang w:val="en-GB"/>
        </w:rPr>
        <w:t>The arena is considered to respond positively to the natural environment, it conserves the natural features its surroundings, and thus provides high quality development which complements the local distinctiveness of the area.</w:t>
      </w:r>
    </w:p>
    <w:p w14:paraId="2F8EAD15">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Contd…/</w:t>
      </w:r>
    </w:p>
    <w:p w14:paraId="12D6E8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- 4 -</w:t>
      </w:r>
    </w:p>
    <w:p w14:paraId="0F10844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5C77A84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Planning Services, Wiltshire Council</w:t>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 xml:space="preserve">      13</w:t>
      </w:r>
      <w:r>
        <w:rPr>
          <w:rFonts w:hint="default" w:ascii="Verdana" w:hAnsi="Verdana" w:eastAsia="SimSun" w:cs="Verdana"/>
          <w:color w:val="000000"/>
          <w:kern w:val="0"/>
          <w:sz w:val="20"/>
          <w:szCs w:val="20"/>
          <w:vertAlign w:val="superscript"/>
          <w:lang w:val="en-GB" w:eastAsia="zh-CN" w:bidi="ar"/>
        </w:rPr>
        <w:t>th</w:t>
      </w:r>
      <w:r>
        <w:rPr>
          <w:rFonts w:hint="default" w:ascii="Verdana" w:hAnsi="Verdana" w:eastAsia="SimSun" w:cs="Verdana"/>
          <w:color w:val="000000"/>
          <w:kern w:val="0"/>
          <w:sz w:val="20"/>
          <w:szCs w:val="20"/>
          <w:lang w:val="en-GB" w:eastAsia="zh-CN" w:bidi="ar"/>
        </w:rPr>
        <w:t xml:space="preserve"> November 2025</w:t>
      </w:r>
    </w:p>
    <w:p w14:paraId="668D8B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344B5C4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lang w:val="en-GB" w:eastAsia="zh-CN" w:bidi="ar"/>
        </w:rPr>
      </w:pPr>
      <w:r>
        <w:rPr>
          <w:rFonts w:hint="default" w:ascii="Verdana" w:hAnsi="Verdana" w:eastAsia="SimSun" w:cs="Verdana"/>
          <w:b/>
          <w:bCs/>
          <w:color w:val="000000"/>
          <w:kern w:val="0"/>
          <w:sz w:val="20"/>
          <w:szCs w:val="20"/>
          <w:lang w:val="en-GB" w:eastAsia="zh-CN" w:bidi="ar"/>
        </w:rPr>
        <w:t>Equestrian arena (retrospective), Lock Farm, Foxham, SN15 4NL</w:t>
      </w:r>
    </w:p>
    <w:p w14:paraId="2A09D215">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rPr>
      </w:pPr>
    </w:p>
    <w:p w14:paraId="3EADED6E">
      <w:pPr>
        <w:numPr>
          <w:ilvl w:val="0"/>
          <w:numId w:val="0"/>
        </w:numPr>
        <w:tabs>
          <w:tab w:val="left" w:pos="420"/>
        </w:tabs>
        <w:spacing w:line="240" w:lineRule="auto"/>
        <w:ind w:leftChars="0"/>
        <w:jc w:val="both"/>
        <w:rPr>
          <w:rFonts w:hint="default" w:ascii="Verdana" w:hAnsi="Verdana" w:cs="Verdana"/>
          <w:b/>
          <w:bCs/>
          <w:sz w:val="20"/>
          <w:szCs w:val="20"/>
          <w:u w:val="single"/>
          <w:vertAlign w:val="baseline"/>
          <w:lang w:val="en-GB"/>
        </w:rPr>
      </w:pPr>
      <w:r>
        <w:rPr>
          <w:rFonts w:hint="default" w:ascii="Verdana" w:hAnsi="Verdana" w:cs="Verdana"/>
          <w:b/>
          <w:bCs/>
          <w:sz w:val="20"/>
          <w:szCs w:val="20"/>
          <w:u w:val="single"/>
          <w:vertAlign w:val="baseline"/>
          <w:lang w:val="en-GB"/>
        </w:rPr>
        <w:t>Residential Amenity</w:t>
      </w:r>
    </w:p>
    <w:p w14:paraId="64056170">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eastAsia="zh-CN"/>
        </w:rPr>
      </w:pPr>
      <w:r>
        <w:rPr>
          <w:rFonts w:hint="default" w:ascii="Verdana" w:hAnsi="Verdana" w:cs="Verdana"/>
          <w:sz w:val="20"/>
          <w:szCs w:val="20"/>
          <w:u w:val="none"/>
          <w:vertAlign w:val="baseline"/>
          <w:lang w:val="en-GB"/>
        </w:rPr>
        <w:t>The original arena was built over 30 years ago and has been in continuous use for more than 30 years. There is no record of any complaints regarding the use of the original arena during this period. The small extension to the arena has not resulted in any significant change to the use of the arena. There is nothing to suggest that the continued use of the arena will have any significant adverse impact on nearby dwellings.</w:t>
      </w:r>
    </w:p>
    <w:p w14:paraId="6FA4E45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u w:val="single"/>
          <w:lang w:val="en-GB" w:eastAsia="zh-CN" w:bidi="ar"/>
        </w:rPr>
      </w:pPr>
      <w:r>
        <w:rPr>
          <w:rFonts w:hint="default" w:ascii="Verdana" w:hAnsi="Verdana" w:eastAsia="SimSun" w:cs="Verdana"/>
          <w:b/>
          <w:bCs/>
          <w:color w:val="000000"/>
          <w:kern w:val="0"/>
          <w:sz w:val="20"/>
          <w:szCs w:val="20"/>
          <w:u w:val="single"/>
          <w:lang w:val="en-GB" w:eastAsia="zh-CN" w:bidi="ar"/>
        </w:rPr>
        <w:t>Heritage Statement</w:t>
      </w:r>
    </w:p>
    <w:p w14:paraId="6FBF02F3">
      <w:pPr>
        <w:numPr>
          <w:ilvl w:val="0"/>
          <w:numId w:val="0"/>
        </w:numPr>
        <w:spacing w:line="240" w:lineRule="auto"/>
        <w:ind w:leftChars="0"/>
        <w:jc w:val="both"/>
        <w:rPr>
          <w:rFonts w:hint="default" w:ascii="Verdana" w:hAnsi="Verdana"/>
          <w:b/>
          <w:sz w:val="20"/>
          <w:szCs w:val="20"/>
          <w:lang w:val="en-GB"/>
        </w:rPr>
      </w:pPr>
      <w:r>
        <w:rPr>
          <w:rFonts w:hint="default" w:ascii="Verdana" w:hAnsi="Verdana" w:cs="Verdana"/>
          <w:i w:val="0"/>
          <w:iCs w:val="0"/>
          <w:sz w:val="20"/>
          <w:szCs w:val="20"/>
          <w:u w:val="none"/>
          <w:lang w:val="en-GB"/>
        </w:rPr>
        <w:t>This development is located near Lock Farmhouse, The Lock which is a Grade II listed building (List Entry Number 1022432 registered 25</w:t>
      </w:r>
      <w:r>
        <w:rPr>
          <w:rFonts w:hint="default" w:ascii="Verdana" w:hAnsi="Verdana" w:cs="Verdana"/>
          <w:i w:val="0"/>
          <w:iCs w:val="0"/>
          <w:sz w:val="20"/>
          <w:szCs w:val="20"/>
          <w:u w:val="none"/>
          <w:vertAlign w:val="superscript"/>
          <w:lang w:val="en-GB"/>
        </w:rPr>
        <w:t>th</w:t>
      </w:r>
      <w:r>
        <w:rPr>
          <w:rFonts w:hint="default" w:ascii="Verdana" w:hAnsi="Verdana" w:cs="Verdana"/>
          <w:i w:val="0"/>
          <w:iCs w:val="0"/>
          <w:sz w:val="20"/>
          <w:szCs w:val="20"/>
          <w:u w:val="none"/>
          <w:lang w:val="en-GB"/>
        </w:rPr>
        <w:t xml:space="preserve"> November 1987), copied below:</w:t>
      </w:r>
    </w:p>
    <w:p w14:paraId="7CF2C76C">
      <w:pPr>
        <w:numPr>
          <w:ilvl w:val="0"/>
          <w:numId w:val="0"/>
        </w:numPr>
        <w:spacing w:after="0"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none"/>
          <w:lang w:val="en-GB"/>
        </w:rPr>
        <w:t xml:space="preserve">Bremhill The Lock, Foxham ST 97 NE 5/53 Lock Farmhouse II Farmhouse, early C19, red brick with asklar dressings, extended to left in ashlar. Stone slate roof and end stacks. Two storeys, three window range of 16-pane sashes in plain slightly raised surrounds. </w:t>
      </w:r>
    </w:p>
    <w:p w14:paraId="1525FB2F">
      <w:pPr>
        <w:numPr>
          <w:ilvl w:val="0"/>
          <w:numId w:val="0"/>
        </w:numPr>
        <w:spacing w:after="0"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none"/>
          <w:lang w:val="en-GB"/>
        </w:rPr>
        <w:t>Centre door in raised moulded surround with hood on brackets. Left bay is ashlar, centre and right red brick with flush quoins at right end. Single storey outbuilding attached to right end. House adjoins a former lock of the disused Wilts and Berks Canal.</w:t>
      </w:r>
    </w:p>
    <w:p w14:paraId="0453FF5D">
      <w:pPr>
        <w:numPr>
          <w:ilvl w:val="0"/>
          <w:numId w:val="0"/>
        </w:numPr>
        <w:spacing w:after="0"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none"/>
          <w:lang w:val="en-GB"/>
        </w:rPr>
        <w:t>Listing NGR: ST9819177345</w:t>
      </w:r>
    </w:p>
    <w:p w14:paraId="26B8C477">
      <w:pPr>
        <w:numPr>
          <w:ilvl w:val="0"/>
          <w:numId w:val="0"/>
        </w:numPr>
        <w:spacing w:after="0" w:line="240" w:lineRule="auto"/>
        <w:ind w:leftChars="0"/>
        <w:jc w:val="both"/>
        <w:rPr>
          <w:rFonts w:hint="default" w:ascii="Verdana" w:hAnsi="Verdana" w:cs="Verdana"/>
          <w:i w:val="0"/>
          <w:iCs w:val="0"/>
          <w:sz w:val="20"/>
          <w:szCs w:val="20"/>
          <w:u w:val="none"/>
          <w:lang w:val="en-GB"/>
        </w:rPr>
      </w:pPr>
    </w:p>
    <w:p w14:paraId="6BAEF636">
      <w:pPr>
        <w:numPr>
          <w:ilvl w:val="0"/>
          <w:numId w:val="0"/>
        </w:numPr>
        <w:spacing w:after="0" w:line="240" w:lineRule="auto"/>
        <w:ind w:leftChars="0"/>
        <w:jc w:val="both"/>
        <w:rPr>
          <w:rFonts w:hint="default" w:ascii="Verdana" w:hAnsi="Verdana" w:cs="Verdana"/>
          <w:i/>
          <w:sz w:val="20"/>
          <w:szCs w:val="20"/>
        </w:rPr>
      </w:pPr>
      <w:r>
        <w:rPr>
          <w:rFonts w:hint="default" w:ascii="Verdana" w:hAnsi="Verdana" w:cs="Verdana"/>
          <w:i w:val="0"/>
          <w:iCs w:val="0"/>
          <w:sz w:val="20"/>
          <w:szCs w:val="20"/>
          <w:u w:val="none"/>
          <w:lang w:val="en-GB"/>
        </w:rPr>
        <w:t xml:space="preserve">As detailed above, the NPPF (2024) details significance as the value of a heritage asset to this and future generations because of its heritage interest. The interest may be archaeological, architectural, artistic or historic. Significance derives not only from a heritage asset’s physical presence, but also from its setting. The arena are not within the curtilage of Lock Farmhouse. The development has no significant adverse effect on the character or setting of the historic asset. </w:t>
      </w:r>
    </w:p>
    <w:p w14:paraId="73C52F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 </w:t>
      </w:r>
    </w:p>
    <w:p w14:paraId="6D25D9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b/>
          <w:bCs/>
          <w:color w:val="000000"/>
          <w:kern w:val="0"/>
          <w:sz w:val="20"/>
          <w:szCs w:val="20"/>
          <w:u w:val="single"/>
          <w:lang w:val="en-US" w:eastAsia="zh-CN" w:bidi="ar"/>
        </w:rPr>
      </w:pPr>
      <w:r>
        <w:rPr>
          <w:rFonts w:hint="default" w:ascii="Verdana" w:hAnsi="Verdana" w:eastAsia="SimSun" w:cs="Verdana"/>
          <w:b/>
          <w:bCs/>
          <w:color w:val="000000"/>
          <w:kern w:val="0"/>
          <w:sz w:val="20"/>
          <w:szCs w:val="20"/>
          <w:u w:val="single"/>
          <w:lang w:val="en-US" w:eastAsia="zh-CN" w:bidi="ar"/>
        </w:rPr>
        <w:t xml:space="preserve">Flood risk </w:t>
      </w:r>
    </w:p>
    <w:p w14:paraId="11DCF1C5">
      <w:pPr>
        <w:numPr>
          <w:ilvl w:val="0"/>
          <w:numId w:val="0"/>
        </w:numPr>
        <w:spacing w:line="240" w:lineRule="auto"/>
        <w:ind w:leftChars="0"/>
        <w:jc w:val="both"/>
        <w:rPr>
          <w:rFonts w:hint="default" w:ascii="Verdana" w:hAnsi="Verdana" w:cs="Verdana"/>
          <w:sz w:val="20"/>
          <w:szCs w:val="20"/>
          <w:u w:val="none"/>
          <w:lang w:val="en-GB"/>
        </w:rPr>
      </w:pPr>
      <w:r>
        <w:rPr>
          <w:rFonts w:hint="default" w:ascii="Verdana" w:hAnsi="Verdana" w:cs="Verdana"/>
          <w:sz w:val="20"/>
          <w:szCs w:val="20"/>
          <w:u w:val="none"/>
          <w:lang w:val="en-GB"/>
        </w:rPr>
        <w:t>The EA’s flood maps shows that the site lies within Flood Zone 1. The NPPF Technical Guidance defines these Flood Zones as:</w:t>
      </w:r>
    </w:p>
    <w:p w14:paraId="1E85974F">
      <w:pPr>
        <w:numPr>
          <w:ilvl w:val="0"/>
          <w:numId w:val="0"/>
        </w:numPr>
        <w:spacing w:line="240" w:lineRule="auto"/>
        <w:jc w:val="both"/>
        <w:rPr>
          <w:rFonts w:hint="default" w:ascii="Verdana" w:hAnsi="Verdana" w:cs="Verdana"/>
          <w:sz w:val="20"/>
          <w:szCs w:val="20"/>
        </w:rPr>
      </w:pPr>
      <w:r>
        <w:rPr>
          <w:rFonts w:hint="default" w:ascii="Verdana" w:hAnsi="Verdana" w:cs="Verdana"/>
          <w:b/>
          <w:bCs/>
          <w:i/>
          <w:iCs/>
          <w:sz w:val="20"/>
          <w:szCs w:val="20"/>
          <w:u w:val="none"/>
          <w:lang w:val="en-GB"/>
        </w:rPr>
        <w:t>“Land having a less in 1 in 1,000 annual probability of river or sea flooding.”</w:t>
      </w:r>
      <w:r>
        <w:rPr>
          <w:rFonts w:hint="default" w:ascii="Verdana" w:hAnsi="Verdana" w:eastAsia="SimSun" w:cs="Verdana"/>
          <w:color w:val="000000"/>
          <w:kern w:val="0"/>
          <w:sz w:val="20"/>
          <w:szCs w:val="20"/>
          <w:lang w:val="en-US" w:eastAsia="zh-CN" w:bidi="ar"/>
        </w:rPr>
        <w:t xml:space="preserve"> </w:t>
      </w:r>
    </w:p>
    <w:p w14:paraId="52DE9A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Drainage</w:t>
      </w:r>
      <w:r>
        <w:rPr>
          <w:rFonts w:hint="default" w:ascii="Verdana" w:hAnsi="Verdana" w:eastAsia="SimSun" w:cs="Verdana"/>
          <w:color w:val="000000"/>
          <w:kern w:val="0"/>
          <w:sz w:val="20"/>
          <w:szCs w:val="20"/>
          <w:lang w:val="en-US" w:eastAsia="zh-CN" w:bidi="ar"/>
        </w:rPr>
        <w:t xml:space="preserve"> </w:t>
      </w:r>
    </w:p>
    <w:p w14:paraId="7D733DF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US" w:eastAsia="zh-CN" w:bidi="ar"/>
        </w:rPr>
        <w:t xml:space="preserve">Drainage channels </w:t>
      </w:r>
      <w:r>
        <w:rPr>
          <w:rFonts w:hint="default" w:ascii="Verdana" w:hAnsi="Verdana" w:eastAsia="SimSun" w:cs="Verdana"/>
          <w:color w:val="000000"/>
          <w:kern w:val="0"/>
          <w:sz w:val="20"/>
          <w:szCs w:val="20"/>
          <w:lang w:val="en-GB" w:eastAsia="zh-CN" w:bidi="ar"/>
        </w:rPr>
        <w:t>have been installed</w:t>
      </w:r>
      <w:r>
        <w:rPr>
          <w:rFonts w:hint="default" w:ascii="Verdana" w:hAnsi="Verdana" w:eastAsia="SimSun" w:cs="Verdana"/>
          <w:color w:val="000000"/>
          <w:kern w:val="0"/>
          <w:sz w:val="20"/>
          <w:szCs w:val="20"/>
          <w:lang w:val="en-US" w:eastAsia="zh-CN" w:bidi="ar"/>
        </w:rPr>
        <w:t xml:space="preserve"> under the proposed arena to aid surface water drainage. The </w:t>
      </w:r>
      <w:r>
        <w:rPr>
          <w:rFonts w:hint="default" w:ascii="Verdana" w:hAnsi="Verdana" w:eastAsia="SimSun" w:cs="Verdana"/>
          <w:color w:val="000000"/>
          <w:kern w:val="0"/>
          <w:sz w:val="20"/>
          <w:szCs w:val="20"/>
          <w:lang w:val="en-GB" w:eastAsia="zh-CN" w:bidi="ar"/>
        </w:rPr>
        <w:t xml:space="preserve">development will not result in any </w:t>
      </w:r>
      <w:r>
        <w:rPr>
          <w:rFonts w:hint="default" w:ascii="Verdana" w:hAnsi="Verdana" w:eastAsia="SimSun" w:cs="Verdana"/>
          <w:color w:val="000000"/>
          <w:kern w:val="0"/>
          <w:sz w:val="20"/>
          <w:szCs w:val="20"/>
          <w:lang w:val="en-US" w:eastAsia="zh-CN" w:bidi="ar"/>
        </w:rPr>
        <w:t>increased surface water run off</w:t>
      </w:r>
      <w:r>
        <w:rPr>
          <w:rFonts w:hint="default" w:ascii="Verdana" w:hAnsi="Verdana" w:eastAsia="SimSun" w:cs="Verdana"/>
          <w:color w:val="000000"/>
          <w:kern w:val="0"/>
          <w:sz w:val="20"/>
          <w:szCs w:val="20"/>
          <w:lang w:val="en-GB" w:eastAsia="zh-CN" w:bidi="ar"/>
        </w:rPr>
        <w:t>.</w:t>
      </w:r>
    </w:p>
    <w:p w14:paraId="59F337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357EA7A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Public Footpath</w:t>
      </w:r>
      <w:r>
        <w:rPr>
          <w:rFonts w:hint="default" w:ascii="Verdana" w:hAnsi="Verdana" w:eastAsia="SimSun" w:cs="Verdana"/>
          <w:color w:val="000000"/>
          <w:kern w:val="0"/>
          <w:sz w:val="20"/>
          <w:szCs w:val="20"/>
          <w:lang w:val="en-US" w:eastAsia="zh-CN" w:bidi="ar"/>
        </w:rPr>
        <w:t xml:space="preserve"> </w:t>
      </w:r>
    </w:p>
    <w:p w14:paraId="1611467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There are public footpaths crossing the </w:t>
      </w:r>
      <w:r>
        <w:rPr>
          <w:rFonts w:hint="default" w:ascii="Verdana" w:hAnsi="Verdana" w:eastAsia="SimSun" w:cs="Verdana"/>
          <w:color w:val="000000"/>
          <w:kern w:val="0"/>
          <w:sz w:val="20"/>
          <w:szCs w:val="20"/>
          <w:lang w:val="en-GB" w:eastAsia="zh-CN" w:bidi="ar"/>
        </w:rPr>
        <w:t>land</w:t>
      </w:r>
      <w:r>
        <w:rPr>
          <w:rFonts w:hint="default" w:ascii="Verdana" w:hAnsi="Verdana" w:eastAsia="SimSun" w:cs="Verdana"/>
          <w:color w:val="000000"/>
          <w:kern w:val="0"/>
          <w:sz w:val="20"/>
          <w:szCs w:val="20"/>
          <w:lang w:val="en-US" w:eastAsia="zh-CN" w:bidi="ar"/>
        </w:rPr>
        <w:t xml:space="preserve">. </w:t>
      </w:r>
    </w:p>
    <w:p w14:paraId="6C8C26F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3355EEC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b/>
          <w:bCs/>
          <w:color w:val="000000"/>
          <w:kern w:val="0"/>
          <w:sz w:val="20"/>
          <w:szCs w:val="20"/>
          <w:u w:val="single"/>
          <w:lang w:val="en-US" w:eastAsia="zh-CN" w:bidi="ar"/>
        </w:rPr>
        <w:t>Concluding Remarks</w:t>
      </w:r>
      <w:r>
        <w:rPr>
          <w:rFonts w:hint="default" w:ascii="Verdana" w:hAnsi="Verdana" w:eastAsia="SimSun" w:cs="Verdana"/>
          <w:color w:val="000000"/>
          <w:kern w:val="0"/>
          <w:sz w:val="20"/>
          <w:szCs w:val="20"/>
          <w:lang w:val="en-US" w:eastAsia="zh-CN" w:bidi="ar"/>
        </w:rPr>
        <w:t xml:space="preserve"> </w:t>
      </w:r>
    </w:p>
    <w:p w14:paraId="270309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This development is in keeping with national and local planning policy. This</w:t>
      </w:r>
      <w:r>
        <w:rPr>
          <w:rFonts w:hint="default" w:ascii="Verdana" w:hAnsi="Verdana" w:eastAsia="SimSun" w:cs="Verdana"/>
          <w:color w:val="000000"/>
          <w:kern w:val="0"/>
          <w:sz w:val="20"/>
          <w:szCs w:val="20"/>
          <w:lang w:val="en-GB" w:eastAsia="zh-CN" w:bidi="ar"/>
        </w:rPr>
        <w:t xml:space="preserve"> retrospective</w:t>
      </w:r>
      <w:r>
        <w:rPr>
          <w:rFonts w:hint="default" w:ascii="Verdana" w:hAnsi="Verdana" w:eastAsia="SimSun" w:cs="Verdana"/>
          <w:color w:val="000000"/>
          <w:kern w:val="0"/>
          <w:sz w:val="20"/>
          <w:szCs w:val="20"/>
          <w:lang w:val="en-US" w:eastAsia="zh-CN" w:bidi="ar"/>
        </w:rPr>
        <w:t xml:space="preserve"> development should therefore be supported. </w:t>
      </w:r>
    </w:p>
    <w:p w14:paraId="22B09A8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566CF0D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Please do not hesitate to get in contact with me if you require any further information or require any clarification. We look forward to hearing the outcome of this proposal.</w:t>
      </w:r>
    </w:p>
    <w:p w14:paraId="559D2D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 </w:t>
      </w:r>
    </w:p>
    <w:p w14:paraId="740F7555">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auto"/>
        <w:rPr>
          <w:rFonts w:hint="default" w:ascii="Verdana" w:hAnsi="Verdana" w:eastAsia="SimSun" w:cs="Verdana"/>
          <w:color w:val="000000"/>
          <w:kern w:val="0"/>
          <w:sz w:val="20"/>
          <w:szCs w:val="20"/>
          <w:lang w:val="en-GB" w:eastAsia="zh-CN" w:bidi="ar"/>
        </w:rPr>
      </w:pPr>
    </w:p>
    <w:p w14:paraId="16DFB9AF">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Contd…/</w:t>
      </w:r>
    </w:p>
    <w:p w14:paraId="5096C786">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auto"/>
        <w:rPr>
          <w:rFonts w:hint="default" w:ascii="Verdana" w:hAnsi="Verdana" w:eastAsia="SimSun" w:cs="Verdana"/>
          <w:color w:val="000000"/>
          <w:kern w:val="0"/>
          <w:sz w:val="20"/>
          <w:szCs w:val="20"/>
          <w:lang w:val="en-GB" w:eastAsia="zh-CN" w:bidi="ar"/>
        </w:rPr>
      </w:pPr>
    </w:p>
    <w:p w14:paraId="777317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- 5 -</w:t>
      </w:r>
    </w:p>
    <w:p w14:paraId="092663E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14860DC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Planning Services, Wiltshire Council</w:t>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ab/>
      </w:r>
      <w:r>
        <w:rPr>
          <w:rFonts w:hint="default" w:ascii="Verdana" w:hAnsi="Verdana" w:eastAsia="SimSun" w:cs="Verdana"/>
          <w:color w:val="000000"/>
          <w:kern w:val="0"/>
          <w:sz w:val="20"/>
          <w:szCs w:val="20"/>
          <w:lang w:val="en-GB" w:eastAsia="zh-CN" w:bidi="ar"/>
        </w:rPr>
        <w:t xml:space="preserve">      </w:t>
      </w:r>
      <w:bookmarkStart w:id="0" w:name="_GoBack"/>
      <w:bookmarkEnd w:id="0"/>
      <w:r>
        <w:rPr>
          <w:rFonts w:hint="default" w:ascii="Verdana" w:hAnsi="Verdana" w:eastAsia="SimSun" w:cs="Verdana"/>
          <w:color w:val="000000"/>
          <w:kern w:val="0"/>
          <w:sz w:val="20"/>
          <w:szCs w:val="20"/>
          <w:lang w:val="en-GB" w:eastAsia="zh-CN" w:bidi="ar"/>
        </w:rPr>
        <w:t>13</w:t>
      </w:r>
      <w:r>
        <w:rPr>
          <w:rFonts w:hint="default" w:ascii="Verdana" w:hAnsi="Verdana" w:eastAsia="SimSun" w:cs="Verdana"/>
          <w:color w:val="000000"/>
          <w:kern w:val="0"/>
          <w:sz w:val="20"/>
          <w:szCs w:val="20"/>
          <w:vertAlign w:val="superscript"/>
          <w:lang w:val="en-GB" w:eastAsia="zh-CN" w:bidi="ar"/>
        </w:rPr>
        <w:t>th</w:t>
      </w:r>
      <w:r>
        <w:rPr>
          <w:rFonts w:hint="default" w:ascii="Verdana" w:hAnsi="Verdana" w:eastAsia="SimSun" w:cs="Verdana"/>
          <w:color w:val="000000"/>
          <w:kern w:val="0"/>
          <w:sz w:val="20"/>
          <w:szCs w:val="20"/>
          <w:lang w:val="en-GB" w:eastAsia="zh-CN" w:bidi="ar"/>
        </w:rPr>
        <w:t xml:space="preserve"> November 2025</w:t>
      </w:r>
    </w:p>
    <w:p w14:paraId="2D47B9F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733BD9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lang w:val="en-GB" w:eastAsia="zh-CN" w:bidi="ar"/>
        </w:rPr>
      </w:pPr>
      <w:r>
        <w:rPr>
          <w:rFonts w:hint="default" w:ascii="Verdana" w:hAnsi="Verdana" w:eastAsia="SimSun" w:cs="Verdana"/>
          <w:b/>
          <w:bCs/>
          <w:color w:val="000000"/>
          <w:kern w:val="0"/>
          <w:sz w:val="20"/>
          <w:szCs w:val="20"/>
          <w:lang w:val="en-GB" w:eastAsia="zh-CN" w:bidi="ar"/>
        </w:rPr>
        <w:t>Equestrian arena (retrospective), Lock Farm, Foxham, SN15 4NL</w:t>
      </w:r>
    </w:p>
    <w:p w14:paraId="6DB6FC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2D1B66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Yours faithfully,</w:t>
      </w:r>
    </w:p>
    <w:p w14:paraId="73E27F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25FACD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573997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5A802F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61CA06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Marc D. Willis BTP MRTPI FBIAC</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0" w:lineRule="auto"/>
      </w:pPr>
      <w:r>
        <w:separator/>
      </w:r>
    </w:p>
  </w:footnote>
  <w:footnote w:type="continuationSeparator" w:id="1">
    <w:p>
      <w:pPr>
        <w:spacing w:before="0" w:after="0" w:line="2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96AFE">
    <w:pPr>
      <w:pStyle w:val="5"/>
      <w:spacing w:line="14" w:lineRule="auto"/>
      <w:ind w:left="0"/>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2AC"/>
    <w:rsid w:val="00092C1D"/>
    <w:rsid w:val="00174190"/>
    <w:rsid w:val="001C0359"/>
    <w:rsid w:val="001E2A6E"/>
    <w:rsid w:val="00207FF1"/>
    <w:rsid w:val="002152A6"/>
    <w:rsid w:val="002421FA"/>
    <w:rsid w:val="002C2933"/>
    <w:rsid w:val="00312C24"/>
    <w:rsid w:val="003621BF"/>
    <w:rsid w:val="003D02AC"/>
    <w:rsid w:val="004813EB"/>
    <w:rsid w:val="004A62E6"/>
    <w:rsid w:val="004B2AA8"/>
    <w:rsid w:val="00514113"/>
    <w:rsid w:val="00516C16"/>
    <w:rsid w:val="00554543"/>
    <w:rsid w:val="00577BE3"/>
    <w:rsid w:val="005E14DD"/>
    <w:rsid w:val="00654439"/>
    <w:rsid w:val="00661ED8"/>
    <w:rsid w:val="006F3C81"/>
    <w:rsid w:val="007E56FE"/>
    <w:rsid w:val="008A7934"/>
    <w:rsid w:val="009114B6"/>
    <w:rsid w:val="009F4454"/>
    <w:rsid w:val="00A370FE"/>
    <w:rsid w:val="00A84F78"/>
    <w:rsid w:val="00B142FF"/>
    <w:rsid w:val="00C16F19"/>
    <w:rsid w:val="00CB57E9"/>
    <w:rsid w:val="00CF5C07"/>
    <w:rsid w:val="00D636E2"/>
    <w:rsid w:val="00D64B17"/>
    <w:rsid w:val="00DD37F7"/>
    <w:rsid w:val="00DD4D56"/>
    <w:rsid w:val="00FC48CF"/>
    <w:rsid w:val="042E3D0A"/>
    <w:rsid w:val="047633D9"/>
    <w:rsid w:val="07F6399B"/>
    <w:rsid w:val="091C7001"/>
    <w:rsid w:val="0B8E0EB0"/>
    <w:rsid w:val="0BE542B7"/>
    <w:rsid w:val="0E565F93"/>
    <w:rsid w:val="120A3E26"/>
    <w:rsid w:val="12E06EBB"/>
    <w:rsid w:val="14B66F07"/>
    <w:rsid w:val="14C667C2"/>
    <w:rsid w:val="16225C6F"/>
    <w:rsid w:val="197752D7"/>
    <w:rsid w:val="1B8150B6"/>
    <w:rsid w:val="1C2017B0"/>
    <w:rsid w:val="223C6D39"/>
    <w:rsid w:val="23FC67CF"/>
    <w:rsid w:val="26842677"/>
    <w:rsid w:val="27CF2166"/>
    <w:rsid w:val="2B723F53"/>
    <w:rsid w:val="2D8D3349"/>
    <w:rsid w:val="2F5E18EC"/>
    <w:rsid w:val="2FF54A3C"/>
    <w:rsid w:val="305E3DB0"/>
    <w:rsid w:val="3295408B"/>
    <w:rsid w:val="38A511FB"/>
    <w:rsid w:val="39043F04"/>
    <w:rsid w:val="3BEA6867"/>
    <w:rsid w:val="3C034E64"/>
    <w:rsid w:val="3E012549"/>
    <w:rsid w:val="3EB81A6E"/>
    <w:rsid w:val="40FC53A9"/>
    <w:rsid w:val="410272B3"/>
    <w:rsid w:val="426307F8"/>
    <w:rsid w:val="42836897"/>
    <w:rsid w:val="444778D8"/>
    <w:rsid w:val="44E46BA6"/>
    <w:rsid w:val="472E62FB"/>
    <w:rsid w:val="4750610E"/>
    <w:rsid w:val="4E8D576B"/>
    <w:rsid w:val="4F8126BB"/>
    <w:rsid w:val="5212459B"/>
    <w:rsid w:val="574511BD"/>
    <w:rsid w:val="599D6726"/>
    <w:rsid w:val="5C8410F5"/>
    <w:rsid w:val="617554E1"/>
    <w:rsid w:val="62B73E05"/>
    <w:rsid w:val="65600740"/>
    <w:rsid w:val="6F18472D"/>
    <w:rsid w:val="73EF41B9"/>
    <w:rsid w:val="768273FE"/>
    <w:rsid w:val="76874903"/>
    <w:rsid w:val="77083E89"/>
    <w:rsid w:val="7855167B"/>
    <w:rsid w:val="785B3584"/>
    <w:rsid w:val="7F27742A"/>
  </w:rsids>
  <m:mathPr>
    <m:mathFont m:val="Cambria Math"/>
    <m:brkBin m:val="before"/>
    <m:brkBinSub m:val="--"/>
    <m:smallFrac m:val="1"/>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60" w:lineRule="auto"/>
    </w:pPr>
    <w:rPr>
      <w:rFonts w:asciiTheme="minorHAnsi" w:hAnsiTheme="minorHAnsi" w:eastAsiaTheme="minorHAnsi" w:cstheme="minorBidi"/>
      <w:sz w:val="22"/>
      <w:szCs w:val="22"/>
      <w:lang w:val="en-GB" w:eastAsia="en-US" w:bidi="ar-SA"/>
    </w:rPr>
  </w:style>
  <w:style w:type="paragraph" w:styleId="2">
    <w:name w:val="heading 1"/>
    <w:basedOn w:val="1"/>
    <w:qFormat/>
    <w:uiPriority w:val="9"/>
    <w:pPr>
      <w:keepNext/>
      <w:keepLines/>
      <w:spacing w:before="340" w:after="330" w:line="578" w:lineRule="auto"/>
      <w:outlineLvl w:val="0"/>
    </w:pPr>
    <w:rPr>
      <w:b/>
      <w:bCs/>
      <w:kern w:val="44"/>
      <w:sz w:val="44"/>
      <w:szCs w:val="4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ind w:left="120"/>
    </w:pPr>
    <w:rPr>
      <w:rFonts w:ascii="Verdana" w:hAnsi="Verdana" w:eastAsia="Verdana" w:cs="Verdana"/>
      <w:sz w:val="22"/>
      <w:szCs w:val="22"/>
      <w:lang w:val="en-US" w:eastAsia="en-US" w:bidi="ar-SA"/>
    </w:rPr>
  </w:style>
  <w:style w:type="paragraph" w:styleId="6">
    <w:name w:val="header"/>
    <w:basedOn w:val="1"/>
    <w:unhideWhenUsed/>
    <w:qFormat/>
    <w:uiPriority w:val="99"/>
    <w:pPr>
      <w:tabs>
        <w:tab w:val="center" w:pos="4513"/>
        <w:tab w:val="right" w:pos="9026"/>
      </w:tabs>
      <w:spacing w:after="0" w:line="240" w:lineRule="auto"/>
    </w:pPr>
  </w:style>
  <w:style w:type="paragraph" w:styleId="7">
    <w:name w:val="List Paragraph"/>
    <w:basedOn w:val="1"/>
    <w:qFormat/>
    <w:uiPriority w:val="34"/>
    <w:pPr>
      <w:ind w:left="720"/>
      <w:contextualSpacing/>
    </w:pPr>
  </w:style>
  <w:style w:type="paragraph" w:styleId="8">
    <w:name w:val="No Spacing"/>
    <w:qFormat/>
    <w:uiPriority w:val="1"/>
    <w:pPr>
      <w:spacing w:after="160" w:line="260" w:lineRule="auto"/>
    </w:pPr>
    <w:rPr>
      <w:rFonts w:ascii="Calibri" w:hAnsi="Calibri" w:eastAsia="Times New Roman" w:cs="Times New Roman"/>
      <w:sz w:val="22"/>
      <w:szCs w:val="22"/>
      <w:lang w:val="en-GB" w:eastAsia="en-GB" w:bidi="ar-SA"/>
    </w:rPr>
  </w:style>
  <w:style w:type="character" w:customStyle="1" w:styleId="9">
    <w:name w:val="extended-address"/>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7/relationships/hdphoto" Target="media/image2.wdp"/><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5</Pages>
  <Words>356</Words>
  <Characters>2034</Characters>
  <Lines>16</Lines>
  <Paragraphs>4</Paragraphs>
  <TotalTime>23</TotalTime>
  <ScaleCrop>false</ScaleCrop>
  <LinksUpToDate>false</LinksUpToDate>
  <CharactersWithSpaces>2386</CharactersWithSpaces>
  <Application>WPS Office_12.2.0.23149_F1E327BC-269C-435d-A152-05C5408002CA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2018-12-04T15:37:00Z</dcterms:created>
  <dc:creator>Marc Willis</dc:creator>
  <cp:lastModifiedBy>Marc Willis</cp:lastModifiedBy>
  <dcterms:modified xsi:type="dcterms:W3CDTF">2025-11-13T12:13:24Z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2057-12.2.0.23149</vt:lpwstr>
  </property>
  <property fmtid="{D5CDD505-2E9C-101B-9397-08002B2CF9AE}" pid="3" name="ICV">
    <vt:lpwstr>1EF7DD090BC94A1B8F36784F835599C9_13</vt:lpwstr>
  </property>
</Properties>
</file>