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9E1E01" w14:textId="74AB4591" w:rsidR="00031488" w:rsidRPr="007C6091" w:rsidRDefault="0090629F" w:rsidP="00031488">
      <w:pPr>
        <w:rPr>
          <w:color w:val="2F5496" w:themeColor="accent1" w:themeShade="BF"/>
          <w:u w:val="single"/>
        </w:rPr>
      </w:pPr>
      <w:r w:rsidRPr="007C6091">
        <w:rPr>
          <w:color w:val="2F5496" w:themeColor="accent1" w:themeShade="BF"/>
          <w:u w:val="single"/>
        </w:rPr>
        <w:t>Ref: Retrospective Planning PL/2025/06176</w:t>
      </w:r>
    </w:p>
    <w:p w14:paraId="2656828A" w14:textId="0A62F71A" w:rsidR="0090629F" w:rsidRPr="00B2309C" w:rsidRDefault="0090629F" w:rsidP="00031488">
      <w:pPr>
        <w:rPr>
          <w:color w:val="2F5496" w:themeColor="accent1" w:themeShade="BF"/>
        </w:rPr>
      </w:pPr>
      <w:r w:rsidRPr="00B2309C">
        <w:rPr>
          <w:color w:val="2F5496" w:themeColor="accent1" w:themeShade="BF"/>
        </w:rPr>
        <w:t>Manor Farm, Allington, Devizes, SN10 3NN</w:t>
      </w:r>
    </w:p>
    <w:p w14:paraId="68F5C979" w14:textId="77777777" w:rsidR="0090629F" w:rsidRPr="00B2309C" w:rsidRDefault="0090629F" w:rsidP="00031488">
      <w:pPr>
        <w:rPr>
          <w:color w:val="2F5496" w:themeColor="accent1" w:themeShade="BF"/>
        </w:rPr>
      </w:pPr>
    </w:p>
    <w:p w14:paraId="6578937C" w14:textId="5067C023" w:rsidR="0090629F" w:rsidRPr="00B2309C" w:rsidRDefault="004647ED" w:rsidP="00031488">
      <w:pPr>
        <w:rPr>
          <w:color w:val="2F5496" w:themeColor="accent1" w:themeShade="BF"/>
        </w:rPr>
      </w:pPr>
      <w:r w:rsidRPr="00B2309C">
        <w:rPr>
          <w:color w:val="2F5496" w:themeColor="accent1" w:themeShade="BF"/>
        </w:rPr>
        <w:t>Dear Sir/Madam</w:t>
      </w:r>
    </w:p>
    <w:p w14:paraId="2BC524AB" w14:textId="3D212567" w:rsidR="00535162" w:rsidRDefault="004647ED" w:rsidP="00031488">
      <w:pPr>
        <w:rPr>
          <w:color w:val="2F5496" w:themeColor="accent1" w:themeShade="BF"/>
        </w:rPr>
      </w:pPr>
      <w:r w:rsidRPr="00B2309C">
        <w:rPr>
          <w:color w:val="2F5496" w:themeColor="accent1" w:themeShade="BF"/>
        </w:rPr>
        <w:t>I</w:t>
      </w:r>
      <w:r w:rsidR="00535162">
        <w:rPr>
          <w:color w:val="2F5496" w:themeColor="accent1" w:themeShade="BF"/>
        </w:rPr>
        <w:t>, Sian Watson, BS</w:t>
      </w:r>
      <w:r w:rsidR="008F7390">
        <w:rPr>
          <w:color w:val="2F5496" w:themeColor="accent1" w:themeShade="BF"/>
        </w:rPr>
        <w:t>c (Hons)</w:t>
      </w:r>
      <w:r w:rsidR="00535162">
        <w:rPr>
          <w:color w:val="2F5496" w:themeColor="accent1" w:themeShade="BF"/>
        </w:rPr>
        <w:t xml:space="preserve"> Environmental Management</w:t>
      </w:r>
      <w:r w:rsidR="003C3BB5">
        <w:rPr>
          <w:color w:val="2F5496" w:themeColor="accent1" w:themeShade="BF"/>
        </w:rPr>
        <w:t>, now a Retired</w:t>
      </w:r>
      <w:r w:rsidR="00D60355">
        <w:rPr>
          <w:color w:val="2F5496" w:themeColor="accent1" w:themeShade="BF"/>
        </w:rPr>
        <w:t xml:space="preserve"> Environmental</w:t>
      </w:r>
      <w:r w:rsidR="00535162">
        <w:rPr>
          <w:color w:val="2F5496" w:themeColor="accent1" w:themeShade="BF"/>
        </w:rPr>
        <w:t xml:space="preserve"> Consultant</w:t>
      </w:r>
      <w:r w:rsidR="00D60355">
        <w:rPr>
          <w:color w:val="2F5496" w:themeColor="accent1" w:themeShade="BF"/>
        </w:rPr>
        <w:t xml:space="preserve"> and Retired Lead Environmental </w:t>
      </w:r>
      <w:r w:rsidR="006165BB">
        <w:rPr>
          <w:color w:val="2F5496" w:themeColor="accent1" w:themeShade="BF"/>
        </w:rPr>
        <w:t>Auditor</w:t>
      </w:r>
      <w:r w:rsidR="00535162">
        <w:rPr>
          <w:color w:val="2F5496" w:themeColor="accent1" w:themeShade="BF"/>
        </w:rPr>
        <w:t xml:space="preserve">, </w:t>
      </w:r>
      <w:r w:rsidR="00D60355">
        <w:rPr>
          <w:color w:val="2F5496" w:themeColor="accent1" w:themeShade="BF"/>
        </w:rPr>
        <w:t>but still an active</w:t>
      </w:r>
      <w:r w:rsidR="00535162">
        <w:rPr>
          <w:color w:val="2F5496" w:themeColor="accent1" w:themeShade="BF"/>
        </w:rPr>
        <w:t xml:space="preserve"> Farmer,</w:t>
      </w:r>
      <w:r w:rsidRPr="00B2309C">
        <w:rPr>
          <w:color w:val="2F5496" w:themeColor="accent1" w:themeShade="BF"/>
        </w:rPr>
        <w:t xml:space="preserve"> </w:t>
      </w:r>
      <w:r w:rsidR="00D60355">
        <w:rPr>
          <w:color w:val="2F5496" w:themeColor="accent1" w:themeShade="BF"/>
        </w:rPr>
        <w:t>own</w:t>
      </w:r>
      <w:r w:rsidRPr="00B2309C">
        <w:rPr>
          <w:color w:val="2F5496" w:themeColor="accent1" w:themeShade="BF"/>
        </w:rPr>
        <w:t xml:space="preserve"> the Annex at 5 Manor Farm Cottages, Allington, Devizes, SN10 3NL</w:t>
      </w:r>
      <w:r w:rsidR="00535162">
        <w:rPr>
          <w:color w:val="2F5496" w:themeColor="accent1" w:themeShade="BF"/>
        </w:rPr>
        <w:t xml:space="preserve"> -the property of my </w:t>
      </w:r>
      <w:proofErr w:type="gramStart"/>
      <w:r w:rsidR="00535162">
        <w:rPr>
          <w:color w:val="2F5496" w:themeColor="accent1" w:themeShade="BF"/>
        </w:rPr>
        <w:t>Daughter</w:t>
      </w:r>
      <w:proofErr w:type="gramEnd"/>
      <w:r w:rsidR="00535162">
        <w:rPr>
          <w:color w:val="2F5496" w:themeColor="accent1" w:themeShade="BF"/>
        </w:rPr>
        <w:t xml:space="preserve"> and Son-in-</w:t>
      </w:r>
      <w:proofErr w:type="gramStart"/>
      <w:r w:rsidR="00535162">
        <w:rPr>
          <w:color w:val="2F5496" w:themeColor="accent1" w:themeShade="BF"/>
        </w:rPr>
        <w:t>law ,</w:t>
      </w:r>
      <w:proofErr w:type="gramEnd"/>
      <w:r w:rsidR="00535162">
        <w:rPr>
          <w:color w:val="2F5496" w:themeColor="accent1" w:themeShade="BF"/>
        </w:rPr>
        <w:t xml:space="preserve"> Mr Neil Allen and Mrs Sioned Allen.</w:t>
      </w:r>
    </w:p>
    <w:p w14:paraId="74004237" w14:textId="5BBF17F3" w:rsidR="00535162" w:rsidRDefault="00535162" w:rsidP="00031488">
      <w:pPr>
        <w:rPr>
          <w:color w:val="2F5496" w:themeColor="accent1" w:themeShade="BF"/>
        </w:rPr>
      </w:pPr>
      <w:r>
        <w:rPr>
          <w:color w:val="2F5496" w:themeColor="accent1" w:themeShade="BF"/>
        </w:rPr>
        <w:t xml:space="preserve">I am strongly against the development of this “Water Feature”, </w:t>
      </w:r>
      <w:r w:rsidR="00B52799">
        <w:rPr>
          <w:color w:val="2F5496" w:themeColor="accent1" w:themeShade="BF"/>
        </w:rPr>
        <w:t xml:space="preserve">constructed </w:t>
      </w:r>
      <w:r>
        <w:rPr>
          <w:color w:val="2F5496" w:themeColor="accent1" w:themeShade="BF"/>
        </w:rPr>
        <w:t>during the First Covid “Lockdown”</w:t>
      </w:r>
      <w:r w:rsidR="008F7390">
        <w:rPr>
          <w:color w:val="2F5496" w:themeColor="accent1" w:themeShade="BF"/>
        </w:rPr>
        <w:t xml:space="preserve"> as it has</w:t>
      </w:r>
      <w:r w:rsidR="007C6091">
        <w:rPr>
          <w:color w:val="2F5496" w:themeColor="accent1" w:themeShade="BF"/>
        </w:rPr>
        <w:t xml:space="preserve">, </w:t>
      </w:r>
      <w:r w:rsidR="00B52799">
        <w:rPr>
          <w:color w:val="2F5496" w:themeColor="accent1" w:themeShade="BF"/>
        </w:rPr>
        <w:t>u</w:t>
      </w:r>
      <w:r w:rsidR="008F7390">
        <w:rPr>
          <w:color w:val="2F5496" w:themeColor="accent1" w:themeShade="BF"/>
        </w:rPr>
        <w:t>ninten</w:t>
      </w:r>
      <w:r w:rsidR="00076F23">
        <w:rPr>
          <w:color w:val="2F5496" w:themeColor="accent1" w:themeShade="BF"/>
        </w:rPr>
        <w:t>d</w:t>
      </w:r>
      <w:r w:rsidR="008F7390">
        <w:rPr>
          <w:color w:val="2F5496" w:themeColor="accent1" w:themeShade="BF"/>
        </w:rPr>
        <w:t xml:space="preserve">ed, and un-considered </w:t>
      </w:r>
      <w:r w:rsidR="007C6091">
        <w:rPr>
          <w:color w:val="2F5496" w:themeColor="accent1" w:themeShade="BF"/>
        </w:rPr>
        <w:t>c</w:t>
      </w:r>
      <w:r w:rsidR="008F7390">
        <w:rPr>
          <w:color w:val="2F5496" w:themeColor="accent1" w:themeShade="BF"/>
        </w:rPr>
        <w:t>onsequences</w:t>
      </w:r>
      <w:r w:rsidR="007C6091">
        <w:rPr>
          <w:color w:val="2F5496" w:themeColor="accent1" w:themeShade="BF"/>
        </w:rPr>
        <w:t>,</w:t>
      </w:r>
      <w:r w:rsidR="008F7390">
        <w:rPr>
          <w:color w:val="2F5496" w:themeColor="accent1" w:themeShade="BF"/>
        </w:rPr>
        <w:t xml:space="preserve"> and </w:t>
      </w:r>
      <w:r w:rsidR="00B52799">
        <w:rPr>
          <w:color w:val="2F5496" w:themeColor="accent1" w:themeShade="BF"/>
        </w:rPr>
        <w:t>conflicts with several</w:t>
      </w:r>
      <w:r w:rsidR="008F7390">
        <w:rPr>
          <w:color w:val="2F5496" w:themeColor="accent1" w:themeShade="BF"/>
        </w:rPr>
        <w:t xml:space="preserve"> existing </w:t>
      </w:r>
      <w:r w:rsidR="00B52799" w:rsidRPr="00B52799">
        <w:rPr>
          <w:b/>
          <w:bCs/>
          <w:color w:val="2F5496" w:themeColor="accent1" w:themeShade="BF"/>
        </w:rPr>
        <w:t>planning policies and environmental laws</w:t>
      </w:r>
      <w:r w:rsidR="008F7390">
        <w:rPr>
          <w:color w:val="2F5496" w:themeColor="accent1" w:themeShade="BF"/>
        </w:rPr>
        <w:t xml:space="preserve">. There are </w:t>
      </w:r>
      <w:r w:rsidR="00B52799">
        <w:rPr>
          <w:color w:val="2F5496" w:themeColor="accent1" w:themeShade="BF"/>
        </w:rPr>
        <w:t xml:space="preserve">serious </w:t>
      </w:r>
      <w:r w:rsidR="00B52799" w:rsidRPr="00B52799">
        <w:rPr>
          <w:b/>
          <w:bCs/>
          <w:color w:val="2F5496" w:themeColor="accent1" w:themeShade="BF"/>
        </w:rPr>
        <w:t>e</w:t>
      </w:r>
      <w:r w:rsidR="008F7390" w:rsidRPr="00B52799">
        <w:rPr>
          <w:b/>
          <w:bCs/>
          <w:color w:val="2F5496" w:themeColor="accent1" w:themeShade="BF"/>
        </w:rPr>
        <w:t xml:space="preserve">nvironmental </w:t>
      </w:r>
      <w:r w:rsidR="00B52799" w:rsidRPr="00B52799">
        <w:rPr>
          <w:b/>
          <w:bCs/>
          <w:color w:val="2F5496" w:themeColor="accent1" w:themeShade="BF"/>
        </w:rPr>
        <w:t>i</w:t>
      </w:r>
      <w:r w:rsidR="008F7390" w:rsidRPr="00B52799">
        <w:rPr>
          <w:b/>
          <w:bCs/>
          <w:color w:val="2F5496" w:themeColor="accent1" w:themeShade="BF"/>
        </w:rPr>
        <w:t>mpacts</w:t>
      </w:r>
      <w:r w:rsidR="008F7390">
        <w:rPr>
          <w:color w:val="2F5496" w:themeColor="accent1" w:themeShade="BF"/>
        </w:rPr>
        <w:t xml:space="preserve"> </w:t>
      </w:r>
      <w:r w:rsidR="00B52799">
        <w:rPr>
          <w:color w:val="2F5496" w:themeColor="accent1" w:themeShade="BF"/>
        </w:rPr>
        <w:t>that require</w:t>
      </w:r>
      <w:r w:rsidR="008F7390">
        <w:rPr>
          <w:color w:val="2F5496" w:themeColor="accent1" w:themeShade="BF"/>
        </w:rPr>
        <w:t xml:space="preserve"> long term consideration</w:t>
      </w:r>
      <w:r w:rsidR="00B52799">
        <w:rPr>
          <w:color w:val="2F5496" w:themeColor="accent1" w:themeShade="BF"/>
        </w:rPr>
        <w:t>, including risks to</w:t>
      </w:r>
      <w:r w:rsidR="00DA3081">
        <w:rPr>
          <w:color w:val="2F5496" w:themeColor="accent1" w:themeShade="BF"/>
        </w:rPr>
        <w:t xml:space="preserve"> </w:t>
      </w:r>
      <w:r w:rsidR="00DA3081" w:rsidRPr="00B52799">
        <w:rPr>
          <w:b/>
          <w:bCs/>
          <w:color w:val="2F5496" w:themeColor="accent1" w:themeShade="BF"/>
        </w:rPr>
        <w:t>Listed Buildings</w:t>
      </w:r>
      <w:r w:rsidR="00B52799" w:rsidRPr="00B52799">
        <w:rPr>
          <w:b/>
          <w:bCs/>
          <w:color w:val="2F5496" w:themeColor="accent1" w:themeShade="BF"/>
        </w:rPr>
        <w:t xml:space="preserve"> (Planning (Listed Buildings and Conservation Areas) Act 1990)</w:t>
      </w:r>
      <w:r w:rsidR="00DA3081" w:rsidRPr="00B52799">
        <w:rPr>
          <w:b/>
          <w:bCs/>
          <w:color w:val="2F5496" w:themeColor="accent1" w:themeShade="BF"/>
        </w:rPr>
        <w:t>,</w:t>
      </w:r>
      <w:r w:rsidR="008F7390">
        <w:rPr>
          <w:color w:val="2F5496" w:themeColor="accent1" w:themeShade="BF"/>
        </w:rPr>
        <w:t xml:space="preserve"> change</w:t>
      </w:r>
      <w:r w:rsidR="00DA3081">
        <w:rPr>
          <w:color w:val="2F5496" w:themeColor="accent1" w:themeShade="BF"/>
        </w:rPr>
        <w:t>s</w:t>
      </w:r>
      <w:r w:rsidR="008F7390">
        <w:rPr>
          <w:color w:val="2F5496" w:themeColor="accent1" w:themeShade="BF"/>
        </w:rPr>
        <w:t xml:space="preserve"> to ancient hydrology</w:t>
      </w:r>
      <w:r w:rsidR="00B52799">
        <w:rPr>
          <w:color w:val="2F5496" w:themeColor="accent1" w:themeShade="BF"/>
        </w:rPr>
        <w:t>, and health risks associated with s</w:t>
      </w:r>
      <w:r w:rsidR="007C6091">
        <w:rPr>
          <w:color w:val="2F5496" w:themeColor="accent1" w:themeShade="BF"/>
        </w:rPr>
        <w:t>tagnant water</w:t>
      </w:r>
      <w:r w:rsidR="00B52799">
        <w:rPr>
          <w:color w:val="2F5496" w:themeColor="accent1" w:themeShade="BF"/>
        </w:rPr>
        <w:t>.</w:t>
      </w:r>
    </w:p>
    <w:p w14:paraId="03E14CDC" w14:textId="77777777" w:rsidR="00AE1B78" w:rsidRPr="00AE1B78" w:rsidRDefault="00AE1B78" w:rsidP="00AE1B78">
      <w:pPr>
        <w:rPr>
          <w:b/>
          <w:bCs/>
          <w:color w:val="2F5496" w:themeColor="accent1" w:themeShade="BF"/>
        </w:rPr>
      </w:pPr>
      <w:r w:rsidRPr="00AE1B78">
        <w:rPr>
          <w:b/>
          <w:bCs/>
          <w:color w:val="2F5496" w:themeColor="accent1" w:themeShade="BF"/>
        </w:rPr>
        <w:t>Summary of Key Impacts</w:t>
      </w:r>
    </w:p>
    <w:p w14:paraId="754E4333" w14:textId="77777777" w:rsidR="00AE1B78" w:rsidRPr="00AE1B78" w:rsidRDefault="00AE1B78" w:rsidP="00AE1B78">
      <w:pPr>
        <w:numPr>
          <w:ilvl w:val="0"/>
          <w:numId w:val="8"/>
        </w:numPr>
        <w:rPr>
          <w:color w:val="2F5496" w:themeColor="accent1" w:themeShade="BF"/>
        </w:rPr>
      </w:pPr>
      <w:r w:rsidRPr="00AE1B78">
        <w:rPr>
          <w:color w:val="2F5496" w:themeColor="accent1" w:themeShade="BF"/>
        </w:rPr>
        <w:t>To the historic ecology (</w:t>
      </w:r>
      <w:r w:rsidRPr="00AE1B78">
        <w:rPr>
          <w:b/>
          <w:bCs/>
          <w:color w:val="2F5496" w:themeColor="accent1" w:themeShade="BF"/>
        </w:rPr>
        <w:t>NERC Act 2006, Section 40 – duty to conserve biodiversity</w:t>
      </w:r>
      <w:r w:rsidRPr="00AE1B78">
        <w:rPr>
          <w:color w:val="2F5496" w:themeColor="accent1" w:themeShade="BF"/>
        </w:rPr>
        <w:t>).</w:t>
      </w:r>
    </w:p>
    <w:p w14:paraId="5674ECF8" w14:textId="77777777" w:rsidR="00AE1B78" w:rsidRPr="00AE1B78" w:rsidRDefault="00AE1B78" w:rsidP="00AE1B78">
      <w:pPr>
        <w:numPr>
          <w:ilvl w:val="0"/>
          <w:numId w:val="8"/>
        </w:numPr>
        <w:rPr>
          <w:color w:val="2F5496" w:themeColor="accent1" w:themeShade="BF"/>
        </w:rPr>
      </w:pPr>
      <w:r w:rsidRPr="00AE1B78">
        <w:rPr>
          <w:color w:val="2F5496" w:themeColor="accent1" w:themeShade="BF"/>
        </w:rPr>
        <w:t>To water and flood management (</w:t>
      </w:r>
      <w:r w:rsidRPr="00AE1B78">
        <w:rPr>
          <w:b/>
          <w:bCs/>
          <w:color w:val="2F5496" w:themeColor="accent1" w:themeShade="BF"/>
        </w:rPr>
        <w:t>Flood and Water Management Act 2010</w:t>
      </w:r>
      <w:r w:rsidRPr="00AE1B78">
        <w:rPr>
          <w:color w:val="2F5496" w:themeColor="accent1" w:themeShade="BF"/>
        </w:rPr>
        <w:t>).</w:t>
      </w:r>
    </w:p>
    <w:p w14:paraId="5EB3C03B" w14:textId="77777777" w:rsidR="00AE1B78" w:rsidRPr="00AE1B78" w:rsidRDefault="00AE1B78" w:rsidP="00AE1B78">
      <w:pPr>
        <w:numPr>
          <w:ilvl w:val="0"/>
          <w:numId w:val="8"/>
        </w:numPr>
        <w:rPr>
          <w:color w:val="2F5496" w:themeColor="accent1" w:themeShade="BF"/>
        </w:rPr>
      </w:pPr>
      <w:r w:rsidRPr="00AE1B78">
        <w:rPr>
          <w:color w:val="2F5496" w:themeColor="accent1" w:themeShade="BF"/>
        </w:rPr>
        <w:t>To the arboretum planted many years ago (</w:t>
      </w:r>
      <w:r w:rsidRPr="00AE1B78">
        <w:rPr>
          <w:b/>
          <w:bCs/>
          <w:color w:val="2F5496" w:themeColor="accent1" w:themeShade="BF"/>
        </w:rPr>
        <w:t>Town and Country Planning Act 1990 – trees and landscape protection</w:t>
      </w:r>
      <w:r w:rsidRPr="00AE1B78">
        <w:rPr>
          <w:color w:val="2F5496" w:themeColor="accent1" w:themeShade="BF"/>
        </w:rPr>
        <w:t>).</w:t>
      </w:r>
    </w:p>
    <w:p w14:paraId="30E284FB" w14:textId="77777777" w:rsidR="00AE1B78" w:rsidRPr="00AE1B78" w:rsidRDefault="00AE1B78" w:rsidP="00AE1B78">
      <w:pPr>
        <w:numPr>
          <w:ilvl w:val="0"/>
          <w:numId w:val="8"/>
        </w:numPr>
        <w:rPr>
          <w:color w:val="2F5496" w:themeColor="accent1" w:themeShade="BF"/>
        </w:rPr>
      </w:pPr>
      <w:r w:rsidRPr="00AE1B78">
        <w:rPr>
          <w:color w:val="2F5496" w:themeColor="accent1" w:themeShade="BF"/>
        </w:rPr>
        <w:t>To the water quality in nearby boreholes (</w:t>
      </w:r>
      <w:r w:rsidRPr="00AE1B78">
        <w:rPr>
          <w:b/>
          <w:bCs/>
          <w:color w:val="2F5496" w:themeColor="accent1" w:themeShade="BF"/>
        </w:rPr>
        <w:t>Water Framework Directive 2000/60/EC, retained in UK law</w:t>
      </w:r>
      <w:r w:rsidRPr="00AE1B78">
        <w:rPr>
          <w:color w:val="2F5496" w:themeColor="accent1" w:themeShade="BF"/>
        </w:rPr>
        <w:t>).</w:t>
      </w:r>
    </w:p>
    <w:p w14:paraId="7D145A16" w14:textId="77777777" w:rsidR="00AE1B78" w:rsidRPr="00AE1B78" w:rsidRDefault="00AE1B78" w:rsidP="00AE1B78">
      <w:pPr>
        <w:numPr>
          <w:ilvl w:val="0"/>
          <w:numId w:val="8"/>
        </w:numPr>
        <w:rPr>
          <w:color w:val="2F5496" w:themeColor="accent1" w:themeShade="BF"/>
        </w:rPr>
      </w:pPr>
      <w:r w:rsidRPr="00AE1B78">
        <w:rPr>
          <w:color w:val="2F5496" w:themeColor="accent1" w:themeShade="BF"/>
        </w:rPr>
        <w:t>To the structure and foundations of listed buildings (</w:t>
      </w:r>
      <w:r w:rsidRPr="00AE1B78">
        <w:rPr>
          <w:b/>
          <w:bCs/>
          <w:color w:val="2F5496" w:themeColor="accent1" w:themeShade="BF"/>
        </w:rPr>
        <w:t>NPPF, Paragraphs 199–202</w:t>
      </w:r>
      <w:r w:rsidRPr="00AE1B78">
        <w:rPr>
          <w:color w:val="2F5496" w:themeColor="accent1" w:themeShade="BF"/>
        </w:rPr>
        <w:t> on heritage protection).</w:t>
      </w:r>
    </w:p>
    <w:p w14:paraId="10D0F415" w14:textId="77777777" w:rsidR="00AE1B78" w:rsidRPr="00AE1B78" w:rsidRDefault="00AE1B78" w:rsidP="00AE1B78">
      <w:pPr>
        <w:numPr>
          <w:ilvl w:val="0"/>
          <w:numId w:val="8"/>
        </w:numPr>
        <w:rPr>
          <w:color w:val="2F5496" w:themeColor="accent1" w:themeShade="BF"/>
        </w:rPr>
      </w:pPr>
      <w:r w:rsidRPr="00AE1B78">
        <w:rPr>
          <w:color w:val="2F5496" w:themeColor="accent1" w:themeShade="BF"/>
        </w:rPr>
        <w:t>To the quality of life of residents (</w:t>
      </w:r>
      <w:r w:rsidRPr="00AE1B78">
        <w:rPr>
          <w:b/>
          <w:bCs/>
          <w:color w:val="2F5496" w:themeColor="accent1" w:themeShade="BF"/>
        </w:rPr>
        <w:t>Human Rights Act 1998, Article 8 – right to respect for home and family life</w:t>
      </w:r>
      <w:r w:rsidRPr="00AE1B78">
        <w:rPr>
          <w:color w:val="2F5496" w:themeColor="accent1" w:themeShade="BF"/>
        </w:rPr>
        <w:t>).</w:t>
      </w:r>
    </w:p>
    <w:p w14:paraId="3B30874C" w14:textId="77777777" w:rsidR="00AE1B78" w:rsidRPr="00AE1B78" w:rsidRDefault="00AE1B78" w:rsidP="00AE1B78">
      <w:pPr>
        <w:numPr>
          <w:ilvl w:val="0"/>
          <w:numId w:val="8"/>
        </w:numPr>
        <w:rPr>
          <w:color w:val="2F5496" w:themeColor="accent1" w:themeShade="BF"/>
        </w:rPr>
      </w:pPr>
      <w:r w:rsidRPr="00AE1B78">
        <w:rPr>
          <w:color w:val="2F5496" w:themeColor="accent1" w:themeShade="BF"/>
        </w:rPr>
        <w:t>Trespass on adjoining land (</w:t>
      </w:r>
      <w:r w:rsidRPr="00AE1B78">
        <w:rPr>
          <w:b/>
          <w:bCs/>
          <w:color w:val="2F5496" w:themeColor="accent1" w:themeShade="BF"/>
        </w:rPr>
        <w:t>Civil law property rights</w:t>
      </w:r>
      <w:r w:rsidRPr="00AE1B78">
        <w:rPr>
          <w:color w:val="2F5496" w:themeColor="accent1" w:themeShade="BF"/>
        </w:rPr>
        <w:t>).</w:t>
      </w:r>
    </w:p>
    <w:p w14:paraId="4FC334E4" w14:textId="77777777" w:rsidR="00AE1B78" w:rsidRPr="00AE1B78" w:rsidRDefault="00AE1B78" w:rsidP="00AE1B78">
      <w:pPr>
        <w:rPr>
          <w:color w:val="2F5496" w:themeColor="accent1" w:themeShade="BF"/>
        </w:rPr>
      </w:pPr>
      <w:r w:rsidRPr="00AE1B78">
        <w:rPr>
          <w:color w:val="2F5496" w:themeColor="accent1" w:themeShade="BF"/>
        </w:rPr>
        <w:t>The only benefits are:</w:t>
      </w:r>
    </w:p>
    <w:p w14:paraId="0ED0F735" w14:textId="77777777" w:rsidR="00AE1B78" w:rsidRPr="00AE1B78" w:rsidRDefault="00AE1B78" w:rsidP="00AE1B78">
      <w:pPr>
        <w:numPr>
          <w:ilvl w:val="0"/>
          <w:numId w:val="9"/>
        </w:numPr>
        <w:rPr>
          <w:color w:val="2F5496" w:themeColor="accent1" w:themeShade="BF"/>
        </w:rPr>
      </w:pPr>
      <w:r w:rsidRPr="00AE1B78">
        <w:rPr>
          <w:color w:val="2F5496" w:themeColor="accent1" w:themeShade="BF"/>
        </w:rPr>
        <w:t>A private visual amenity to the resident of the property.</w:t>
      </w:r>
    </w:p>
    <w:p w14:paraId="01A860B5" w14:textId="77777777" w:rsidR="00AE1B78" w:rsidRPr="00AE1B78" w:rsidRDefault="00AE1B78" w:rsidP="00AE1B78">
      <w:pPr>
        <w:numPr>
          <w:ilvl w:val="0"/>
          <w:numId w:val="9"/>
        </w:numPr>
        <w:rPr>
          <w:color w:val="2F5496" w:themeColor="accent1" w:themeShade="BF"/>
        </w:rPr>
      </w:pPr>
      <w:r w:rsidRPr="00AE1B78">
        <w:rPr>
          <w:color w:val="2F5496" w:themeColor="accent1" w:themeShade="BF"/>
        </w:rPr>
        <w:t>Habitat for ducks – but the steep-sided pond is not conducive to supporting indigenous chalk stream ecology.</w:t>
      </w:r>
    </w:p>
    <w:p w14:paraId="3392B8ED" w14:textId="77777777" w:rsidR="00AE1B78" w:rsidRPr="00AE1B78" w:rsidRDefault="00DA747D" w:rsidP="00AE1B78">
      <w:pPr>
        <w:rPr>
          <w:color w:val="2F5496" w:themeColor="accent1" w:themeShade="BF"/>
        </w:rPr>
      </w:pPr>
      <w:r>
        <w:rPr>
          <w:color w:val="2F5496" w:themeColor="accent1" w:themeShade="BF"/>
        </w:rPr>
        <w:pict w14:anchorId="613D1626">
          <v:rect id="_x0000_i1025" style="width:0;height:1.5pt" o:hralign="center" o:hrstd="t" o:hr="t" fillcolor="#a0a0a0" stroked="f"/>
        </w:pict>
      </w:r>
    </w:p>
    <w:p w14:paraId="1ECD2648" w14:textId="77777777" w:rsidR="00AE1B78" w:rsidRPr="00AE1B78" w:rsidRDefault="00AE1B78" w:rsidP="00AE1B78">
      <w:pPr>
        <w:rPr>
          <w:b/>
          <w:bCs/>
          <w:color w:val="2F5496" w:themeColor="accent1" w:themeShade="BF"/>
        </w:rPr>
      </w:pPr>
      <w:r w:rsidRPr="00AE1B78">
        <w:rPr>
          <w:b/>
          <w:bCs/>
          <w:color w:val="2F5496" w:themeColor="accent1" w:themeShade="BF"/>
        </w:rPr>
        <w:t>Flood Risk and Hydrology</w:t>
      </w:r>
    </w:p>
    <w:p w14:paraId="3F425064" w14:textId="72C1F8FA" w:rsidR="00AE1B78" w:rsidRPr="00AE1B78" w:rsidRDefault="006165BB" w:rsidP="00AE1B78">
      <w:pPr>
        <w:rPr>
          <w:color w:val="2F5496" w:themeColor="accent1" w:themeShade="BF"/>
        </w:rPr>
      </w:pPr>
      <w:r>
        <w:rPr>
          <w:color w:val="2F5496" w:themeColor="accent1" w:themeShade="BF"/>
        </w:rPr>
        <w:lastRenderedPageBreak/>
        <w:t>My</w:t>
      </w:r>
      <w:r w:rsidR="00AE1B78" w:rsidRPr="00AE1B78">
        <w:rPr>
          <w:color w:val="2F5496" w:themeColor="accent1" w:themeShade="BF"/>
        </w:rPr>
        <w:t xml:space="preserve"> Annex sits</w:t>
      </w:r>
      <w:r>
        <w:rPr>
          <w:color w:val="2F5496" w:themeColor="accent1" w:themeShade="BF"/>
        </w:rPr>
        <w:t>, slightly elevated,</w:t>
      </w:r>
      <w:r w:rsidR="00AE1B78" w:rsidRPr="00AE1B78">
        <w:rPr>
          <w:color w:val="2F5496" w:themeColor="accent1" w:themeShade="BF"/>
        </w:rPr>
        <w:t xml:space="preserve"> on the bank of The Gog, historically a seasonal drainage ditch. Behind the Annex, a land drain carries stormwater from the lane and surrounding fields. The flow from this pipe has increased in recent years due to more frequent storm events and additional impermeable surfaces created nearby.</w:t>
      </w:r>
    </w:p>
    <w:p w14:paraId="6E12DF4F" w14:textId="77777777" w:rsidR="00AE1B78" w:rsidRPr="00AE1B78" w:rsidRDefault="00AE1B78" w:rsidP="00AE1B78">
      <w:pPr>
        <w:rPr>
          <w:color w:val="2F5496" w:themeColor="accent1" w:themeShade="BF"/>
        </w:rPr>
      </w:pPr>
      <w:r w:rsidRPr="00AE1B78">
        <w:rPr>
          <w:color w:val="2F5496" w:themeColor="accent1" w:themeShade="BF"/>
        </w:rPr>
        <w:t>The </w:t>
      </w:r>
      <w:r w:rsidRPr="00AE1B78">
        <w:rPr>
          <w:b/>
          <w:bCs/>
          <w:color w:val="2F5496" w:themeColor="accent1" w:themeShade="BF"/>
        </w:rPr>
        <w:t>NPPF (Paragraphs 159–169)</w:t>
      </w:r>
      <w:r w:rsidRPr="00AE1B78">
        <w:rPr>
          <w:color w:val="2F5496" w:themeColor="accent1" w:themeShade="BF"/>
        </w:rPr>
        <w:t> makes clear that inappropriate development in areas at risk of flooding should be avoided. This retrospective pond is within a </w:t>
      </w:r>
      <w:r w:rsidRPr="00AE1B78">
        <w:rPr>
          <w:b/>
          <w:bCs/>
          <w:color w:val="2F5496" w:themeColor="accent1" w:themeShade="BF"/>
        </w:rPr>
        <w:t>floodplain</w:t>
      </w:r>
      <w:r w:rsidRPr="00AE1B78">
        <w:rPr>
          <w:color w:val="2F5496" w:themeColor="accent1" w:themeShade="BF"/>
        </w:rPr>
        <w:t> and effectively reduces its flood storage capacity. By holding back over </w:t>
      </w:r>
      <w:r w:rsidRPr="00AE1B78">
        <w:rPr>
          <w:b/>
          <w:bCs/>
          <w:color w:val="2F5496" w:themeColor="accent1" w:themeShade="BF"/>
        </w:rPr>
        <w:t>1 million gallons of water</w:t>
      </w:r>
      <w:r w:rsidRPr="00AE1B78">
        <w:rPr>
          <w:color w:val="2F5496" w:themeColor="accent1" w:themeShade="BF"/>
        </w:rPr>
        <w:t> at its maximum proposed depth (2.2m), the development exacerbates local flood risk, contrary to:</w:t>
      </w:r>
    </w:p>
    <w:p w14:paraId="650DCD16" w14:textId="77777777" w:rsidR="00AE1B78" w:rsidRPr="00AE1B78" w:rsidRDefault="00AE1B78" w:rsidP="00AE1B78">
      <w:pPr>
        <w:numPr>
          <w:ilvl w:val="0"/>
          <w:numId w:val="10"/>
        </w:numPr>
        <w:rPr>
          <w:color w:val="2F5496" w:themeColor="accent1" w:themeShade="BF"/>
        </w:rPr>
      </w:pPr>
      <w:r w:rsidRPr="00AE1B78">
        <w:rPr>
          <w:b/>
          <w:bCs/>
          <w:color w:val="2F5496" w:themeColor="accent1" w:themeShade="BF"/>
        </w:rPr>
        <w:t>Flood and Water Management Act 2010</w:t>
      </w:r>
      <w:r w:rsidRPr="00AE1B78">
        <w:rPr>
          <w:color w:val="2F5496" w:themeColor="accent1" w:themeShade="BF"/>
        </w:rPr>
        <w:t> (duty to manage flood risk).</w:t>
      </w:r>
    </w:p>
    <w:p w14:paraId="5D81BAB4" w14:textId="77777777" w:rsidR="00AE1B78" w:rsidRPr="00AE1B78" w:rsidRDefault="00AE1B78" w:rsidP="00AE1B78">
      <w:pPr>
        <w:numPr>
          <w:ilvl w:val="0"/>
          <w:numId w:val="10"/>
        </w:numPr>
        <w:rPr>
          <w:color w:val="2F5496" w:themeColor="accent1" w:themeShade="BF"/>
        </w:rPr>
      </w:pPr>
      <w:r w:rsidRPr="00AE1B78">
        <w:rPr>
          <w:b/>
          <w:bCs/>
          <w:color w:val="2F5496" w:themeColor="accent1" w:themeShade="BF"/>
        </w:rPr>
        <w:t>Land Drainage Act 1991</w:t>
      </w:r>
      <w:r w:rsidRPr="00AE1B78">
        <w:rPr>
          <w:color w:val="2F5496" w:themeColor="accent1" w:themeShade="BF"/>
        </w:rPr>
        <w:t> (requirement for consent for works affecting ordinary watercourses).</w:t>
      </w:r>
    </w:p>
    <w:p w14:paraId="54E472F1" w14:textId="77777777" w:rsidR="00AE1B78" w:rsidRPr="00AE1B78" w:rsidRDefault="00AE1B78" w:rsidP="00AE1B78">
      <w:pPr>
        <w:numPr>
          <w:ilvl w:val="0"/>
          <w:numId w:val="10"/>
        </w:numPr>
        <w:rPr>
          <w:color w:val="2F5496" w:themeColor="accent1" w:themeShade="BF"/>
        </w:rPr>
      </w:pPr>
      <w:r w:rsidRPr="00AE1B78">
        <w:rPr>
          <w:b/>
          <w:bCs/>
          <w:color w:val="2F5496" w:themeColor="accent1" w:themeShade="BF"/>
        </w:rPr>
        <w:t>NPPF Paragraph 167</w:t>
      </w:r>
      <w:r w:rsidRPr="00AE1B78">
        <w:rPr>
          <w:color w:val="2F5496" w:themeColor="accent1" w:themeShade="BF"/>
        </w:rPr>
        <w:t>, which requires that development must not increase flood risk elsewhere.</w:t>
      </w:r>
    </w:p>
    <w:p w14:paraId="5B1A6270" w14:textId="77777777" w:rsidR="00AE1B78" w:rsidRPr="00AE1B78" w:rsidRDefault="00DA747D" w:rsidP="00AE1B78">
      <w:pPr>
        <w:rPr>
          <w:color w:val="2F5496" w:themeColor="accent1" w:themeShade="BF"/>
        </w:rPr>
      </w:pPr>
      <w:r>
        <w:rPr>
          <w:color w:val="2F5496" w:themeColor="accent1" w:themeShade="BF"/>
        </w:rPr>
        <w:pict w14:anchorId="7F8798DA">
          <v:rect id="_x0000_i1026" style="width:0;height:1.5pt" o:hralign="center" o:hrstd="t" o:hr="t" fillcolor="#a0a0a0" stroked="f"/>
        </w:pict>
      </w:r>
    </w:p>
    <w:p w14:paraId="1E3F4931" w14:textId="77777777" w:rsidR="00AE1B78" w:rsidRPr="00AE1B78" w:rsidRDefault="00AE1B78" w:rsidP="00AE1B78">
      <w:pPr>
        <w:rPr>
          <w:b/>
          <w:bCs/>
          <w:color w:val="2F5496" w:themeColor="accent1" w:themeShade="BF"/>
        </w:rPr>
      </w:pPr>
      <w:r w:rsidRPr="00AE1B78">
        <w:rPr>
          <w:b/>
          <w:bCs/>
          <w:color w:val="2F5496" w:themeColor="accent1" w:themeShade="BF"/>
        </w:rPr>
        <w:t>Ecology and Biodiversity</w:t>
      </w:r>
    </w:p>
    <w:p w14:paraId="7CE7A2DB" w14:textId="77777777" w:rsidR="00AE1B78" w:rsidRPr="00AE1B78" w:rsidRDefault="00AE1B78" w:rsidP="00AE1B78">
      <w:pPr>
        <w:rPr>
          <w:color w:val="2F5496" w:themeColor="accent1" w:themeShade="BF"/>
        </w:rPr>
      </w:pPr>
      <w:r w:rsidRPr="00AE1B78">
        <w:rPr>
          <w:color w:val="2F5496" w:themeColor="accent1" w:themeShade="BF"/>
        </w:rPr>
        <w:t>Chalk streams are globally rare – 85% of them are in England. They are a </w:t>
      </w:r>
      <w:r w:rsidRPr="00AE1B78">
        <w:rPr>
          <w:b/>
          <w:bCs/>
          <w:color w:val="2F5496" w:themeColor="accent1" w:themeShade="BF"/>
        </w:rPr>
        <w:t>Priority Habitat under the UK Biodiversity Action Plan</w:t>
      </w:r>
      <w:r w:rsidRPr="00AE1B78">
        <w:rPr>
          <w:color w:val="2F5496" w:themeColor="accent1" w:themeShade="BF"/>
        </w:rPr>
        <w:t> and protected under the </w:t>
      </w:r>
      <w:r w:rsidRPr="00AE1B78">
        <w:rPr>
          <w:b/>
          <w:bCs/>
          <w:color w:val="2F5496" w:themeColor="accent1" w:themeShade="BF"/>
        </w:rPr>
        <w:t>NERC Act 2006</w:t>
      </w:r>
      <w:r w:rsidRPr="00AE1B78">
        <w:rPr>
          <w:color w:val="2F5496" w:themeColor="accent1" w:themeShade="BF"/>
        </w:rPr>
        <w:t>.</w:t>
      </w:r>
    </w:p>
    <w:p w14:paraId="5D5FA564" w14:textId="77777777" w:rsidR="00AE1B78" w:rsidRPr="00AE1B78" w:rsidRDefault="00AE1B78" w:rsidP="00AE1B78">
      <w:pPr>
        <w:rPr>
          <w:color w:val="2F5496" w:themeColor="accent1" w:themeShade="BF"/>
        </w:rPr>
      </w:pPr>
      <w:r w:rsidRPr="00AE1B78">
        <w:rPr>
          <w:color w:val="2F5496" w:themeColor="accent1" w:themeShade="BF"/>
        </w:rPr>
        <w:t>The damming and excavation have already altered the hydrology, degraded water quality, and threatened species adapted to the Gog’s natural seasonal drying cycle. This is contrary to:</w:t>
      </w:r>
    </w:p>
    <w:p w14:paraId="3958D4A8" w14:textId="77777777" w:rsidR="00AE1B78" w:rsidRPr="00AE1B78" w:rsidRDefault="00AE1B78" w:rsidP="00AE1B78">
      <w:pPr>
        <w:numPr>
          <w:ilvl w:val="0"/>
          <w:numId w:val="11"/>
        </w:numPr>
        <w:rPr>
          <w:color w:val="2F5496" w:themeColor="accent1" w:themeShade="BF"/>
        </w:rPr>
      </w:pPr>
      <w:r w:rsidRPr="00AE1B78">
        <w:rPr>
          <w:b/>
          <w:bCs/>
          <w:color w:val="2F5496" w:themeColor="accent1" w:themeShade="BF"/>
        </w:rPr>
        <w:t>NPPF Paragraphs 174–177</w:t>
      </w:r>
      <w:r w:rsidRPr="00AE1B78">
        <w:rPr>
          <w:color w:val="2F5496" w:themeColor="accent1" w:themeShade="BF"/>
        </w:rPr>
        <w:t> (protection of habitats and species).</w:t>
      </w:r>
    </w:p>
    <w:p w14:paraId="1FE2F704" w14:textId="77777777" w:rsidR="00AE1B78" w:rsidRPr="00AE1B78" w:rsidRDefault="00AE1B78" w:rsidP="00AE1B78">
      <w:pPr>
        <w:numPr>
          <w:ilvl w:val="0"/>
          <w:numId w:val="11"/>
        </w:numPr>
        <w:rPr>
          <w:color w:val="2F5496" w:themeColor="accent1" w:themeShade="BF"/>
        </w:rPr>
      </w:pPr>
      <w:r w:rsidRPr="00AE1B78">
        <w:rPr>
          <w:b/>
          <w:bCs/>
          <w:color w:val="2F5496" w:themeColor="accent1" w:themeShade="BF"/>
        </w:rPr>
        <w:t>Wildlife and Countryside Act 1981</w:t>
      </w:r>
      <w:r w:rsidRPr="00AE1B78">
        <w:rPr>
          <w:color w:val="2F5496" w:themeColor="accent1" w:themeShade="BF"/>
        </w:rPr>
        <w:t> (protection of species and habitats).</w:t>
      </w:r>
    </w:p>
    <w:p w14:paraId="612B20F4" w14:textId="77777777" w:rsidR="00AE1B78" w:rsidRPr="00AE1B78" w:rsidRDefault="00AE1B78" w:rsidP="00AE1B78">
      <w:pPr>
        <w:numPr>
          <w:ilvl w:val="0"/>
          <w:numId w:val="11"/>
        </w:numPr>
        <w:rPr>
          <w:color w:val="2F5496" w:themeColor="accent1" w:themeShade="BF"/>
        </w:rPr>
      </w:pPr>
      <w:r w:rsidRPr="00AE1B78">
        <w:rPr>
          <w:b/>
          <w:bCs/>
          <w:color w:val="2F5496" w:themeColor="accent1" w:themeShade="BF"/>
        </w:rPr>
        <w:t>Conservation of Habitats and Species Regulations 2017</w:t>
      </w:r>
      <w:r w:rsidRPr="00AE1B78">
        <w:rPr>
          <w:color w:val="2F5496" w:themeColor="accent1" w:themeShade="BF"/>
        </w:rPr>
        <w:t> (Habitats Regulations).</w:t>
      </w:r>
    </w:p>
    <w:p w14:paraId="4E9C1BF0" w14:textId="77777777" w:rsidR="00AE1B78" w:rsidRPr="00AE1B78" w:rsidRDefault="00AE1B78" w:rsidP="00AE1B78">
      <w:pPr>
        <w:rPr>
          <w:color w:val="2F5496" w:themeColor="accent1" w:themeShade="BF"/>
        </w:rPr>
      </w:pPr>
      <w:r w:rsidRPr="00AE1B78">
        <w:rPr>
          <w:color w:val="2F5496" w:themeColor="accent1" w:themeShade="BF"/>
        </w:rPr>
        <w:t>The claim that this pond benefits ecology is misleading:</w:t>
      </w:r>
    </w:p>
    <w:p w14:paraId="55E8A439" w14:textId="77777777" w:rsidR="00AE1B78" w:rsidRPr="00AE1B78" w:rsidRDefault="00AE1B78" w:rsidP="00AE1B78">
      <w:pPr>
        <w:numPr>
          <w:ilvl w:val="0"/>
          <w:numId w:val="12"/>
        </w:numPr>
        <w:rPr>
          <w:color w:val="2F5496" w:themeColor="accent1" w:themeShade="BF"/>
        </w:rPr>
      </w:pPr>
      <w:r w:rsidRPr="00AE1B78">
        <w:rPr>
          <w:b/>
          <w:bCs/>
          <w:color w:val="2F5496" w:themeColor="accent1" w:themeShade="BF"/>
        </w:rPr>
        <w:t>Steep-sided ponds</w:t>
      </w:r>
      <w:r w:rsidRPr="00AE1B78">
        <w:rPr>
          <w:color w:val="2F5496" w:themeColor="accent1" w:themeShade="BF"/>
        </w:rPr>
        <w:t> are known to harm rather than help wildlife.</w:t>
      </w:r>
    </w:p>
    <w:p w14:paraId="58F0F6F9" w14:textId="77777777" w:rsidR="00AE1B78" w:rsidRPr="00AE1B78" w:rsidRDefault="00AE1B78" w:rsidP="00AE1B78">
      <w:pPr>
        <w:numPr>
          <w:ilvl w:val="0"/>
          <w:numId w:val="12"/>
        </w:numPr>
        <w:rPr>
          <w:color w:val="2F5496" w:themeColor="accent1" w:themeShade="BF"/>
        </w:rPr>
      </w:pPr>
      <w:r w:rsidRPr="00AE1B78">
        <w:rPr>
          <w:color w:val="2F5496" w:themeColor="accent1" w:themeShade="BF"/>
        </w:rPr>
        <w:t>Aquatic vegetation does not grow in 1.2m+ deep water; most wildlife depends on shallow margins.</w:t>
      </w:r>
    </w:p>
    <w:p w14:paraId="2F3F8740" w14:textId="77777777" w:rsidR="00AE1B78" w:rsidRPr="00AE1B78" w:rsidRDefault="00AE1B78" w:rsidP="00AE1B78">
      <w:pPr>
        <w:numPr>
          <w:ilvl w:val="0"/>
          <w:numId w:val="12"/>
        </w:numPr>
        <w:rPr>
          <w:color w:val="2F5496" w:themeColor="accent1" w:themeShade="BF"/>
        </w:rPr>
      </w:pPr>
      <w:r w:rsidRPr="00AE1B78">
        <w:rPr>
          <w:color w:val="2F5496" w:themeColor="accent1" w:themeShade="BF"/>
        </w:rPr>
        <w:t>Stagnant water encourages mosquitoes and midges, raising public health concerns (</w:t>
      </w:r>
      <w:r w:rsidRPr="00AE1B78">
        <w:rPr>
          <w:b/>
          <w:bCs/>
          <w:color w:val="2F5496" w:themeColor="accent1" w:themeShade="BF"/>
        </w:rPr>
        <w:t>Public Health Act 1936</w:t>
      </w:r>
      <w:r w:rsidRPr="00AE1B78">
        <w:rPr>
          <w:color w:val="2F5496" w:themeColor="accent1" w:themeShade="BF"/>
        </w:rPr>
        <w:t> gives local authorities duties to prevent such nuisances).</w:t>
      </w:r>
    </w:p>
    <w:p w14:paraId="33345F18" w14:textId="77777777" w:rsidR="00AE1B78" w:rsidRPr="00AE1B78" w:rsidRDefault="00DA747D" w:rsidP="00AE1B78">
      <w:pPr>
        <w:rPr>
          <w:color w:val="2F5496" w:themeColor="accent1" w:themeShade="BF"/>
        </w:rPr>
      </w:pPr>
      <w:r>
        <w:rPr>
          <w:color w:val="2F5496" w:themeColor="accent1" w:themeShade="BF"/>
        </w:rPr>
        <w:pict w14:anchorId="0FFFD65D">
          <v:rect id="_x0000_i1027" style="width:0;height:1.5pt" o:hralign="center" o:hrstd="t" o:hr="t" fillcolor="#a0a0a0" stroked="f"/>
        </w:pict>
      </w:r>
    </w:p>
    <w:p w14:paraId="7B30E213" w14:textId="77777777" w:rsidR="00AE1B78" w:rsidRPr="00AE1B78" w:rsidRDefault="00AE1B78" w:rsidP="00AE1B78">
      <w:pPr>
        <w:rPr>
          <w:b/>
          <w:bCs/>
          <w:color w:val="2F5496" w:themeColor="accent1" w:themeShade="BF"/>
        </w:rPr>
      </w:pPr>
      <w:r w:rsidRPr="00AE1B78">
        <w:rPr>
          <w:b/>
          <w:bCs/>
          <w:color w:val="2F5496" w:themeColor="accent1" w:themeShade="BF"/>
        </w:rPr>
        <w:t>Heritage and Trees</w:t>
      </w:r>
    </w:p>
    <w:p w14:paraId="1D5DE240" w14:textId="77777777" w:rsidR="00AE1B78" w:rsidRPr="00AE1B78" w:rsidRDefault="00AE1B78" w:rsidP="00AE1B78">
      <w:pPr>
        <w:rPr>
          <w:color w:val="2F5496" w:themeColor="accent1" w:themeShade="BF"/>
        </w:rPr>
      </w:pPr>
      <w:r w:rsidRPr="00AE1B78">
        <w:rPr>
          <w:color w:val="2F5496" w:themeColor="accent1" w:themeShade="BF"/>
        </w:rPr>
        <w:lastRenderedPageBreak/>
        <w:t>Raising the water table poses a direct risk to </w:t>
      </w:r>
      <w:r w:rsidRPr="00AE1B78">
        <w:rPr>
          <w:b/>
          <w:bCs/>
          <w:color w:val="2F5496" w:themeColor="accent1" w:themeShade="BF"/>
        </w:rPr>
        <w:t>No.5 Manor Farm Cottage</w:t>
      </w:r>
      <w:r w:rsidRPr="00AE1B78">
        <w:rPr>
          <w:color w:val="2F5496" w:themeColor="accent1" w:themeShade="BF"/>
        </w:rPr>
        <w:t>, a listed building over 500 years old. These structures lack modern foundations and are vulnerable to damp. Allowing water to saturate the soil and porous stone walls could cause long-term structural damage, contrary to:</w:t>
      </w:r>
    </w:p>
    <w:p w14:paraId="35BD61BB" w14:textId="77777777" w:rsidR="00AE1B78" w:rsidRPr="00AE1B78" w:rsidRDefault="00AE1B78" w:rsidP="00AE1B78">
      <w:pPr>
        <w:numPr>
          <w:ilvl w:val="0"/>
          <w:numId w:val="13"/>
        </w:numPr>
        <w:rPr>
          <w:color w:val="2F5496" w:themeColor="accent1" w:themeShade="BF"/>
        </w:rPr>
      </w:pPr>
      <w:r w:rsidRPr="00AE1B78">
        <w:rPr>
          <w:b/>
          <w:bCs/>
          <w:color w:val="2F5496" w:themeColor="accent1" w:themeShade="BF"/>
        </w:rPr>
        <w:t>Planning (Listed Buildings and Conservation Areas) Act 1990, Section 66</w:t>
      </w:r>
      <w:r w:rsidRPr="00AE1B78">
        <w:rPr>
          <w:color w:val="2F5496" w:themeColor="accent1" w:themeShade="BF"/>
        </w:rPr>
        <w:t> (special regard to preserving listed buildings).</w:t>
      </w:r>
    </w:p>
    <w:p w14:paraId="3D5B0A6A" w14:textId="77777777" w:rsidR="00AE1B78" w:rsidRPr="00AE1B78" w:rsidRDefault="00AE1B78" w:rsidP="00AE1B78">
      <w:pPr>
        <w:numPr>
          <w:ilvl w:val="0"/>
          <w:numId w:val="13"/>
        </w:numPr>
        <w:rPr>
          <w:color w:val="2F5496" w:themeColor="accent1" w:themeShade="BF"/>
        </w:rPr>
      </w:pPr>
      <w:r w:rsidRPr="00AE1B78">
        <w:rPr>
          <w:b/>
          <w:bCs/>
          <w:color w:val="2F5496" w:themeColor="accent1" w:themeShade="BF"/>
        </w:rPr>
        <w:t>NPPF Paragraph 199</w:t>
      </w:r>
      <w:r w:rsidRPr="00AE1B78">
        <w:rPr>
          <w:color w:val="2F5496" w:themeColor="accent1" w:themeShade="BF"/>
        </w:rPr>
        <w:t> (great weight must be given to the conservation of heritage assets).</w:t>
      </w:r>
    </w:p>
    <w:p w14:paraId="68AB6949" w14:textId="77777777" w:rsidR="00AE1B78" w:rsidRPr="00AE1B78" w:rsidRDefault="00AE1B78" w:rsidP="00AE1B78">
      <w:pPr>
        <w:rPr>
          <w:color w:val="2F5496" w:themeColor="accent1" w:themeShade="BF"/>
        </w:rPr>
      </w:pPr>
      <w:r w:rsidRPr="00AE1B78">
        <w:rPr>
          <w:color w:val="2F5496" w:themeColor="accent1" w:themeShade="BF"/>
        </w:rPr>
        <w:t>The development also threatens the rare arboretum, including a mature </w:t>
      </w:r>
      <w:r w:rsidRPr="00AE1B78">
        <w:rPr>
          <w:b/>
          <w:bCs/>
          <w:color w:val="2F5496" w:themeColor="accent1" w:themeShade="BF"/>
        </w:rPr>
        <w:t xml:space="preserve">Judas Tree (Cercis </w:t>
      </w:r>
      <w:proofErr w:type="spellStart"/>
      <w:r w:rsidRPr="00AE1B78">
        <w:rPr>
          <w:b/>
          <w:bCs/>
          <w:color w:val="2F5496" w:themeColor="accent1" w:themeShade="BF"/>
        </w:rPr>
        <w:t>siliquastrum</w:t>
      </w:r>
      <w:proofErr w:type="spellEnd"/>
      <w:r w:rsidRPr="00AE1B78">
        <w:rPr>
          <w:b/>
          <w:bCs/>
          <w:color w:val="2F5496" w:themeColor="accent1" w:themeShade="BF"/>
        </w:rPr>
        <w:t>)</w:t>
      </w:r>
      <w:r w:rsidRPr="00AE1B78">
        <w:rPr>
          <w:color w:val="2F5496" w:themeColor="accent1" w:themeShade="BF"/>
        </w:rPr>
        <w:t>, which requires well-drained soils (RHS guidance). No </w:t>
      </w:r>
      <w:r w:rsidRPr="00AE1B78">
        <w:rPr>
          <w:b/>
          <w:bCs/>
          <w:color w:val="2F5496" w:themeColor="accent1" w:themeShade="BF"/>
        </w:rPr>
        <w:t>Tree Survey</w:t>
      </w:r>
      <w:r w:rsidRPr="00AE1B78">
        <w:rPr>
          <w:color w:val="2F5496" w:themeColor="accent1" w:themeShade="BF"/>
        </w:rPr>
        <w:t> has been carried out, in conflict with </w:t>
      </w:r>
      <w:r w:rsidRPr="00AE1B78">
        <w:rPr>
          <w:b/>
          <w:bCs/>
          <w:color w:val="2F5496" w:themeColor="accent1" w:themeShade="BF"/>
        </w:rPr>
        <w:t>BS 5837:2012 (Trees in Relation to Design, Demolition and Construction)</w:t>
      </w:r>
      <w:r w:rsidRPr="00AE1B78">
        <w:rPr>
          <w:color w:val="2F5496" w:themeColor="accent1" w:themeShade="BF"/>
        </w:rPr>
        <w:t>, which is a material consideration in planning.</w:t>
      </w:r>
    </w:p>
    <w:p w14:paraId="12F2FB20" w14:textId="77777777" w:rsidR="00AE1B78" w:rsidRPr="00AE1B78" w:rsidRDefault="00DA747D" w:rsidP="00AE1B78">
      <w:pPr>
        <w:rPr>
          <w:color w:val="2F5496" w:themeColor="accent1" w:themeShade="BF"/>
        </w:rPr>
      </w:pPr>
      <w:r>
        <w:rPr>
          <w:color w:val="2F5496" w:themeColor="accent1" w:themeShade="BF"/>
        </w:rPr>
        <w:pict w14:anchorId="64CF684D">
          <v:rect id="_x0000_i1028" style="width:0;height:1.5pt" o:hralign="center" o:hrstd="t" o:hr="t" fillcolor="#a0a0a0" stroked="f"/>
        </w:pict>
      </w:r>
    </w:p>
    <w:p w14:paraId="0E98B9CB" w14:textId="77777777" w:rsidR="00AE1B78" w:rsidRPr="00AE1B78" w:rsidRDefault="00AE1B78" w:rsidP="00AE1B78">
      <w:pPr>
        <w:rPr>
          <w:b/>
          <w:bCs/>
          <w:color w:val="2F5496" w:themeColor="accent1" w:themeShade="BF"/>
        </w:rPr>
      </w:pPr>
      <w:r w:rsidRPr="00AE1B78">
        <w:rPr>
          <w:b/>
          <w:bCs/>
          <w:color w:val="2F5496" w:themeColor="accent1" w:themeShade="BF"/>
        </w:rPr>
        <w:t>Process Failures</w:t>
      </w:r>
    </w:p>
    <w:p w14:paraId="141C58F2" w14:textId="77777777" w:rsidR="00AE1B78" w:rsidRPr="00AE1B78" w:rsidRDefault="00AE1B78" w:rsidP="00AE1B78">
      <w:pPr>
        <w:numPr>
          <w:ilvl w:val="0"/>
          <w:numId w:val="14"/>
        </w:numPr>
        <w:rPr>
          <w:color w:val="2F5496" w:themeColor="accent1" w:themeShade="BF"/>
        </w:rPr>
      </w:pPr>
      <w:r w:rsidRPr="00AE1B78">
        <w:rPr>
          <w:color w:val="2F5496" w:themeColor="accent1" w:themeShade="BF"/>
        </w:rPr>
        <w:t>Neighbours (including my daughter and son-in-law at No.5 Manor Farm Cottages) were not listed as consultees, contrary to the </w:t>
      </w:r>
      <w:r w:rsidRPr="00AE1B78">
        <w:rPr>
          <w:b/>
          <w:bCs/>
          <w:color w:val="2F5496" w:themeColor="accent1" w:themeShade="BF"/>
        </w:rPr>
        <w:t>Town and Country Planning (Development Management Procedure) Order 2015</w:t>
      </w:r>
      <w:r w:rsidRPr="00AE1B78">
        <w:rPr>
          <w:color w:val="2F5496" w:themeColor="accent1" w:themeShade="BF"/>
        </w:rPr>
        <w:t> (requirements for consultation).</w:t>
      </w:r>
    </w:p>
    <w:p w14:paraId="1E8CF83C" w14:textId="77777777" w:rsidR="00AE1B78" w:rsidRPr="00AE1B78" w:rsidRDefault="00AE1B78" w:rsidP="00AE1B78">
      <w:pPr>
        <w:numPr>
          <w:ilvl w:val="0"/>
          <w:numId w:val="14"/>
        </w:numPr>
        <w:rPr>
          <w:color w:val="2F5496" w:themeColor="accent1" w:themeShade="BF"/>
        </w:rPr>
      </w:pPr>
      <w:r w:rsidRPr="00AE1B78">
        <w:rPr>
          <w:color w:val="2F5496" w:themeColor="accent1" w:themeShade="BF"/>
        </w:rPr>
        <w:t>Statutory consultees such as the </w:t>
      </w:r>
      <w:r w:rsidRPr="00AE1B78">
        <w:rPr>
          <w:b/>
          <w:bCs/>
          <w:color w:val="2F5496" w:themeColor="accent1" w:themeShade="BF"/>
        </w:rPr>
        <w:t>Environment Agency</w:t>
      </w:r>
      <w:r w:rsidRPr="00AE1B78">
        <w:rPr>
          <w:color w:val="2F5496" w:themeColor="accent1" w:themeShade="BF"/>
        </w:rPr>
        <w:t> and </w:t>
      </w:r>
      <w:r w:rsidRPr="00AE1B78">
        <w:rPr>
          <w:b/>
          <w:bCs/>
          <w:color w:val="2F5496" w:themeColor="accent1" w:themeShade="BF"/>
        </w:rPr>
        <w:t>LLFA</w:t>
      </w:r>
      <w:r w:rsidRPr="00AE1B78">
        <w:rPr>
          <w:color w:val="2F5496" w:themeColor="accent1" w:themeShade="BF"/>
        </w:rPr>
        <w:t> do not appear to have been properly consulted, as required by law.</w:t>
      </w:r>
    </w:p>
    <w:p w14:paraId="211BD1BE" w14:textId="77777777" w:rsidR="00AE1B78" w:rsidRPr="00AE1B78" w:rsidRDefault="00AE1B78" w:rsidP="00AE1B78">
      <w:pPr>
        <w:numPr>
          <w:ilvl w:val="0"/>
          <w:numId w:val="14"/>
        </w:numPr>
        <w:rPr>
          <w:color w:val="2F5496" w:themeColor="accent1" w:themeShade="BF"/>
        </w:rPr>
      </w:pPr>
      <w:r w:rsidRPr="00AE1B78">
        <w:rPr>
          <w:color w:val="2F5496" w:themeColor="accent1" w:themeShade="BF"/>
        </w:rPr>
        <w:t>No </w:t>
      </w:r>
      <w:r w:rsidRPr="00AE1B78">
        <w:rPr>
          <w:b/>
          <w:bCs/>
          <w:color w:val="2F5496" w:themeColor="accent1" w:themeShade="BF"/>
        </w:rPr>
        <w:t>Environmental Impact Assessment (EIA)</w:t>
      </w:r>
      <w:r w:rsidRPr="00AE1B78">
        <w:rPr>
          <w:color w:val="2F5496" w:themeColor="accent1" w:themeShade="BF"/>
        </w:rPr>
        <w:t> has been undertaken, despite the scale of works and hydrological changes. This is contrary to the </w:t>
      </w:r>
      <w:r w:rsidRPr="00AE1B78">
        <w:rPr>
          <w:b/>
          <w:bCs/>
          <w:color w:val="2F5496" w:themeColor="accent1" w:themeShade="BF"/>
        </w:rPr>
        <w:t>Town and Country Planning (Environmental Impact Assessment) Regulations 2017</w:t>
      </w:r>
    </w:p>
    <w:p w14:paraId="13DBD289" w14:textId="77777777" w:rsidR="00AE1B78" w:rsidRDefault="00AE1B78" w:rsidP="00535162">
      <w:pPr>
        <w:rPr>
          <w:color w:val="2F5496" w:themeColor="accent1" w:themeShade="BF"/>
        </w:rPr>
      </w:pPr>
    </w:p>
    <w:p w14:paraId="7727758D" w14:textId="77777777" w:rsidR="00AE1B78" w:rsidRDefault="00AE1B78" w:rsidP="00535162">
      <w:pPr>
        <w:rPr>
          <w:color w:val="2F5496" w:themeColor="accent1" w:themeShade="BF"/>
        </w:rPr>
      </w:pPr>
    </w:p>
    <w:p w14:paraId="022C7CB1" w14:textId="77777777" w:rsidR="00AE1B78" w:rsidRDefault="00AE1B78" w:rsidP="00535162">
      <w:pPr>
        <w:rPr>
          <w:color w:val="2F5496" w:themeColor="accent1" w:themeShade="BF"/>
        </w:rPr>
      </w:pPr>
    </w:p>
    <w:p w14:paraId="5D1740EC" w14:textId="77777777" w:rsidR="00AE1B78" w:rsidRDefault="00AE1B78" w:rsidP="00535162">
      <w:pPr>
        <w:rPr>
          <w:color w:val="2F5496" w:themeColor="accent1" w:themeShade="BF"/>
        </w:rPr>
      </w:pPr>
    </w:p>
    <w:p w14:paraId="2FAF221E" w14:textId="77777777" w:rsidR="000B0107" w:rsidRDefault="000B0107" w:rsidP="00F444B2"/>
    <w:p w14:paraId="220BDD36" w14:textId="77777777" w:rsidR="00957C64" w:rsidRDefault="00957C64" w:rsidP="00F444B2"/>
    <w:p w14:paraId="6ECDE9B4" w14:textId="77777777" w:rsidR="00031488" w:rsidRDefault="00031488" w:rsidP="00031488">
      <w:pPr>
        <w:jc w:val="right"/>
      </w:pPr>
    </w:p>
    <w:p w14:paraId="0E7E0174" w14:textId="77777777" w:rsidR="00031488" w:rsidRDefault="00031488" w:rsidP="00031488">
      <w:pPr>
        <w:jc w:val="right"/>
      </w:pPr>
    </w:p>
    <w:p w14:paraId="6A4B3679" w14:textId="77777777" w:rsidR="00031488" w:rsidRDefault="00031488"/>
    <w:sectPr w:rsidR="0003148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71F49"/>
    <w:multiLevelType w:val="multilevel"/>
    <w:tmpl w:val="C74058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BED0D6F"/>
    <w:multiLevelType w:val="hybridMultilevel"/>
    <w:tmpl w:val="ADAE78A2"/>
    <w:lvl w:ilvl="0" w:tplc="9A3C714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1C9A6547"/>
    <w:multiLevelType w:val="multilevel"/>
    <w:tmpl w:val="25C8E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0F3533"/>
    <w:multiLevelType w:val="multilevel"/>
    <w:tmpl w:val="2FDC7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D367E2"/>
    <w:multiLevelType w:val="multilevel"/>
    <w:tmpl w:val="20DCEC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E1E4B0D"/>
    <w:multiLevelType w:val="hybridMultilevel"/>
    <w:tmpl w:val="BC8E42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E377DFB"/>
    <w:multiLevelType w:val="multilevel"/>
    <w:tmpl w:val="D87A3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CBF13C8"/>
    <w:multiLevelType w:val="multilevel"/>
    <w:tmpl w:val="0674D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E4A3B91"/>
    <w:multiLevelType w:val="hybridMultilevel"/>
    <w:tmpl w:val="084EF39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CE90FCC"/>
    <w:multiLevelType w:val="hybridMultilevel"/>
    <w:tmpl w:val="084EF3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26209FC"/>
    <w:multiLevelType w:val="hybridMultilevel"/>
    <w:tmpl w:val="3E189F86"/>
    <w:lvl w:ilvl="0" w:tplc="E7AE8C98">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6B6976D1"/>
    <w:multiLevelType w:val="multilevel"/>
    <w:tmpl w:val="052E2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B7B1806"/>
    <w:multiLevelType w:val="hybridMultilevel"/>
    <w:tmpl w:val="67022B2E"/>
    <w:lvl w:ilvl="0" w:tplc="E6E8144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A5E2E87"/>
    <w:multiLevelType w:val="hybridMultilevel"/>
    <w:tmpl w:val="99B6862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71709967">
    <w:abstractNumId w:val="9"/>
  </w:num>
  <w:num w:numId="2" w16cid:durableId="1072577795">
    <w:abstractNumId w:val="5"/>
  </w:num>
  <w:num w:numId="3" w16cid:durableId="579293932">
    <w:abstractNumId w:val="12"/>
  </w:num>
  <w:num w:numId="4" w16cid:durableId="1689870934">
    <w:abstractNumId w:val="13"/>
  </w:num>
  <w:num w:numId="5" w16cid:durableId="473763575">
    <w:abstractNumId w:val="1"/>
  </w:num>
  <w:num w:numId="6" w16cid:durableId="1777677486">
    <w:abstractNumId w:val="8"/>
  </w:num>
  <w:num w:numId="7" w16cid:durableId="53042605">
    <w:abstractNumId w:val="10"/>
  </w:num>
  <w:num w:numId="8" w16cid:durableId="1033650731">
    <w:abstractNumId w:val="0"/>
  </w:num>
  <w:num w:numId="9" w16cid:durableId="1346862103">
    <w:abstractNumId w:val="4"/>
  </w:num>
  <w:num w:numId="10" w16cid:durableId="1118141523">
    <w:abstractNumId w:val="7"/>
  </w:num>
  <w:num w:numId="11" w16cid:durableId="892808722">
    <w:abstractNumId w:val="6"/>
  </w:num>
  <w:num w:numId="12" w16cid:durableId="1793136428">
    <w:abstractNumId w:val="3"/>
  </w:num>
  <w:num w:numId="13" w16cid:durableId="771559674">
    <w:abstractNumId w:val="2"/>
  </w:num>
  <w:num w:numId="14" w16cid:durableId="88074867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488"/>
    <w:rsid w:val="00031488"/>
    <w:rsid w:val="00045B2B"/>
    <w:rsid w:val="00076F23"/>
    <w:rsid w:val="000A077B"/>
    <w:rsid w:val="000B0107"/>
    <w:rsid w:val="000C4495"/>
    <w:rsid w:val="001E65F6"/>
    <w:rsid w:val="00357E98"/>
    <w:rsid w:val="003C3BB5"/>
    <w:rsid w:val="004647ED"/>
    <w:rsid w:val="004B07AF"/>
    <w:rsid w:val="004F205D"/>
    <w:rsid w:val="00535162"/>
    <w:rsid w:val="005C039A"/>
    <w:rsid w:val="005F5DB5"/>
    <w:rsid w:val="006165BB"/>
    <w:rsid w:val="00715985"/>
    <w:rsid w:val="00797CC4"/>
    <w:rsid w:val="007A657F"/>
    <w:rsid w:val="007C6091"/>
    <w:rsid w:val="0081478C"/>
    <w:rsid w:val="00823C7E"/>
    <w:rsid w:val="00876B43"/>
    <w:rsid w:val="008C1F61"/>
    <w:rsid w:val="008C30BF"/>
    <w:rsid w:val="008F36BC"/>
    <w:rsid w:val="008F7390"/>
    <w:rsid w:val="0090153F"/>
    <w:rsid w:val="0090629F"/>
    <w:rsid w:val="00957C64"/>
    <w:rsid w:val="00983EB2"/>
    <w:rsid w:val="009B65C8"/>
    <w:rsid w:val="00A50B5D"/>
    <w:rsid w:val="00AE1B78"/>
    <w:rsid w:val="00B2309C"/>
    <w:rsid w:val="00B52799"/>
    <w:rsid w:val="00B76D9F"/>
    <w:rsid w:val="00C004CE"/>
    <w:rsid w:val="00C136C3"/>
    <w:rsid w:val="00C8706E"/>
    <w:rsid w:val="00D60355"/>
    <w:rsid w:val="00D8389B"/>
    <w:rsid w:val="00D83902"/>
    <w:rsid w:val="00D86246"/>
    <w:rsid w:val="00DA3081"/>
    <w:rsid w:val="00DA747D"/>
    <w:rsid w:val="00E60E11"/>
    <w:rsid w:val="00EE2E0A"/>
    <w:rsid w:val="00F444B2"/>
    <w:rsid w:val="00FB6FC5"/>
    <w:rsid w:val="00FC17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738FB5E6"/>
  <w15:chartTrackingRefBased/>
  <w15:docId w15:val="{71611C7D-7F2C-4036-A688-74E4F7D8C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3148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3148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3148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3148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3148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314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14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14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148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148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3148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3148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3148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3148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314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14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14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1488"/>
    <w:rPr>
      <w:rFonts w:eastAsiaTheme="majorEastAsia" w:cstheme="majorBidi"/>
      <w:color w:val="272727" w:themeColor="text1" w:themeTint="D8"/>
    </w:rPr>
  </w:style>
  <w:style w:type="paragraph" w:styleId="Title">
    <w:name w:val="Title"/>
    <w:basedOn w:val="Normal"/>
    <w:next w:val="Normal"/>
    <w:link w:val="TitleChar"/>
    <w:uiPriority w:val="10"/>
    <w:qFormat/>
    <w:rsid w:val="000314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14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14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14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1488"/>
    <w:pPr>
      <w:spacing w:before="160"/>
      <w:jc w:val="center"/>
    </w:pPr>
    <w:rPr>
      <w:i/>
      <w:iCs/>
      <w:color w:val="404040" w:themeColor="text1" w:themeTint="BF"/>
    </w:rPr>
  </w:style>
  <w:style w:type="character" w:customStyle="1" w:styleId="QuoteChar">
    <w:name w:val="Quote Char"/>
    <w:basedOn w:val="DefaultParagraphFont"/>
    <w:link w:val="Quote"/>
    <w:uiPriority w:val="29"/>
    <w:rsid w:val="00031488"/>
    <w:rPr>
      <w:i/>
      <w:iCs/>
      <w:color w:val="404040" w:themeColor="text1" w:themeTint="BF"/>
    </w:rPr>
  </w:style>
  <w:style w:type="paragraph" w:styleId="ListParagraph">
    <w:name w:val="List Paragraph"/>
    <w:basedOn w:val="Normal"/>
    <w:uiPriority w:val="34"/>
    <w:qFormat/>
    <w:rsid w:val="00031488"/>
    <w:pPr>
      <w:ind w:left="720"/>
      <w:contextualSpacing/>
    </w:pPr>
  </w:style>
  <w:style w:type="character" w:styleId="IntenseEmphasis">
    <w:name w:val="Intense Emphasis"/>
    <w:basedOn w:val="DefaultParagraphFont"/>
    <w:uiPriority w:val="21"/>
    <w:qFormat/>
    <w:rsid w:val="00031488"/>
    <w:rPr>
      <w:i/>
      <w:iCs/>
      <w:color w:val="2F5496" w:themeColor="accent1" w:themeShade="BF"/>
    </w:rPr>
  </w:style>
  <w:style w:type="paragraph" w:styleId="IntenseQuote">
    <w:name w:val="Intense Quote"/>
    <w:basedOn w:val="Normal"/>
    <w:next w:val="Normal"/>
    <w:link w:val="IntenseQuoteChar"/>
    <w:uiPriority w:val="30"/>
    <w:qFormat/>
    <w:rsid w:val="0003148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31488"/>
    <w:rPr>
      <w:i/>
      <w:iCs/>
      <w:color w:val="2F5496" w:themeColor="accent1" w:themeShade="BF"/>
    </w:rPr>
  </w:style>
  <w:style w:type="character" w:styleId="IntenseReference">
    <w:name w:val="Intense Reference"/>
    <w:basedOn w:val="DefaultParagraphFont"/>
    <w:uiPriority w:val="32"/>
    <w:qFormat/>
    <w:rsid w:val="00031488"/>
    <w:rPr>
      <w:b/>
      <w:bCs/>
      <w:smallCaps/>
      <w:color w:val="2F5496" w:themeColor="accent1" w:themeShade="BF"/>
      <w:spacing w:val="5"/>
    </w:rPr>
  </w:style>
  <w:style w:type="character" w:styleId="Hyperlink">
    <w:name w:val="Hyperlink"/>
    <w:basedOn w:val="DefaultParagraphFont"/>
    <w:uiPriority w:val="99"/>
    <w:unhideWhenUsed/>
    <w:rsid w:val="00031488"/>
    <w:rPr>
      <w:color w:val="0563C1" w:themeColor="hyperlink"/>
      <w:u w:val="single"/>
    </w:rPr>
  </w:style>
  <w:style w:type="character" w:styleId="UnresolvedMention">
    <w:name w:val="Unresolved Mention"/>
    <w:basedOn w:val="DefaultParagraphFont"/>
    <w:uiPriority w:val="99"/>
    <w:semiHidden/>
    <w:unhideWhenUsed/>
    <w:rsid w:val="000314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768</Words>
  <Characters>4382</Characters>
  <Application>Microsoft Office Word</Application>
  <DocSecurity>4</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Sian Watson</dc:creator>
  <cp:keywords/>
  <dc:description/>
  <cp:lastModifiedBy>Falzon, Michael</cp:lastModifiedBy>
  <cp:revision>2</cp:revision>
  <cp:lastPrinted>2025-08-25T20:00:00Z</cp:lastPrinted>
  <dcterms:created xsi:type="dcterms:W3CDTF">2025-09-02T14:21:00Z</dcterms:created>
  <dcterms:modified xsi:type="dcterms:W3CDTF">2025-09-02T14:21:00Z</dcterms:modified>
</cp:coreProperties>
</file>