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EA7575" w:rsidRDefault="00EA7575">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 David Cox</w:t>
      </w:r>
      <w:r>
        <w:rPr>
          <w:rFonts w:cs="Arial"/>
          <w:color w:val="000000"/>
        </w:rPr>
        <w:tab/>
        <w:t>Direct Dial: 0117 975 0674</w:t>
      </w:r>
      <w:r>
        <w:rPr>
          <w:rFonts w:cs="Arial"/>
          <w:color w:val="000000"/>
        </w:rPr>
        <w:tab/>
      </w:r>
      <w:r>
        <w:rPr>
          <w:rFonts w:cs="Arial"/>
          <w:color w:val="000000"/>
        </w:rPr>
        <w:tab/>
      </w:r>
    </w:p>
    <w:p w:rsidR="00EA7575" w:rsidRDefault="00EA7575">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rsidR="00EA7575" w:rsidRDefault="00EA7575">
      <w:pPr>
        <w:widowControl w:val="0"/>
        <w:tabs>
          <w:tab w:val="left" w:pos="6000"/>
          <w:tab w:val="left" w:pos="9250"/>
        </w:tabs>
        <w:autoSpaceDE w:val="0"/>
        <w:autoSpaceDN w:val="0"/>
        <w:adjustRightInd w:val="0"/>
        <w:rPr>
          <w:rFonts w:cs="Arial"/>
          <w:color w:val="000000"/>
        </w:rPr>
      </w:pPr>
      <w:r>
        <w:rPr>
          <w:rFonts w:cs="Arial"/>
          <w:color w:val="000000"/>
        </w:rPr>
        <w:t>Development Management, County Hall</w:t>
      </w:r>
      <w:r>
        <w:rPr>
          <w:rFonts w:cs="Arial"/>
          <w:color w:val="000000"/>
        </w:rPr>
        <w:tab/>
        <w:t>Our ref: L01557292</w:t>
      </w:r>
      <w:r>
        <w:rPr>
          <w:rFonts w:cs="Arial"/>
          <w:color w:val="000000"/>
        </w:rPr>
        <w:tab/>
      </w:r>
      <w:r>
        <w:rPr>
          <w:rFonts w:cs="Arial"/>
          <w:color w:val="000000"/>
        </w:rPr>
        <w:tab/>
      </w:r>
    </w:p>
    <w:p w:rsidR="00EA7575" w:rsidRDefault="00EA7575">
      <w:pPr>
        <w:widowControl w:val="0"/>
        <w:tabs>
          <w:tab w:val="left" w:pos="6000"/>
          <w:tab w:val="left" w:pos="9250"/>
        </w:tabs>
        <w:autoSpaceDE w:val="0"/>
        <w:autoSpaceDN w:val="0"/>
        <w:adjustRightInd w:val="0"/>
        <w:rPr>
          <w:rFonts w:cs="Arial"/>
          <w:color w:val="000000"/>
        </w:rPr>
      </w:pPr>
      <w:r>
        <w:rPr>
          <w:rFonts w:cs="Arial"/>
          <w:color w:val="000000"/>
        </w:rPr>
        <w:t>Bythesea Road</w:t>
      </w:r>
      <w:r>
        <w:rPr>
          <w:rFonts w:cs="Arial"/>
          <w:color w:val="000000"/>
        </w:rPr>
        <w:tab/>
        <w:t xml:space="preserve"> </w:t>
      </w:r>
      <w:r>
        <w:rPr>
          <w:rFonts w:cs="Arial"/>
          <w:color w:val="000000"/>
        </w:rPr>
        <w:tab/>
      </w:r>
      <w:r>
        <w:rPr>
          <w:rFonts w:cs="Arial"/>
          <w:color w:val="000000"/>
        </w:rPr>
        <w:tab/>
      </w:r>
    </w:p>
    <w:p w:rsidR="00EA7575" w:rsidRDefault="00EA7575">
      <w:pPr>
        <w:widowControl w:val="0"/>
        <w:tabs>
          <w:tab w:val="left" w:pos="6000"/>
          <w:tab w:val="left" w:pos="9250"/>
        </w:tabs>
        <w:autoSpaceDE w:val="0"/>
        <w:autoSpaceDN w:val="0"/>
        <w:adjustRightInd w:val="0"/>
        <w:rPr>
          <w:rFonts w:cs="Arial"/>
          <w:color w:val="000000"/>
        </w:rPr>
      </w:pPr>
      <w:r>
        <w:rPr>
          <w:rFonts w:cs="Arial"/>
          <w:color w:val="000000"/>
        </w:rPr>
        <w:t>Trowbridge</w:t>
      </w:r>
      <w:r>
        <w:rPr>
          <w:rFonts w:cs="Arial"/>
          <w:color w:val="000000"/>
        </w:rPr>
        <w:tab/>
        <w:t xml:space="preserve"> </w:t>
      </w:r>
      <w:r>
        <w:rPr>
          <w:rFonts w:cs="Arial"/>
          <w:color w:val="000000"/>
        </w:rPr>
        <w:tab/>
      </w:r>
      <w:r>
        <w:rPr>
          <w:rFonts w:cs="Arial"/>
          <w:color w:val="000000"/>
        </w:rPr>
        <w:tab/>
      </w:r>
    </w:p>
    <w:p w:rsidR="00EA7575" w:rsidRDefault="00EA7575">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rsidR="00EA7575" w:rsidRDefault="00EA7575">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3 April 2023</w:t>
      </w:r>
      <w:r>
        <w:rPr>
          <w:rFonts w:cs="Arial"/>
          <w:color w:val="000000"/>
        </w:rPr>
        <w:tab/>
      </w:r>
      <w:r>
        <w:rPr>
          <w:rFonts w:cs="Arial"/>
          <w:color w:val="000000"/>
        </w:rPr>
        <w:tab/>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r>
        <w:rPr>
          <w:rFonts w:cs="Arial"/>
          <w:color w:val="000000"/>
        </w:rPr>
        <w:t>Dear Mr Cox</w:t>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EA7575" w:rsidRDefault="00EA7575">
      <w:pPr>
        <w:widowControl w:val="0"/>
        <w:autoSpaceDE w:val="0"/>
        <w:autoSpaceDN w:val="0"/>
        <w:adjustRightInd w:val="0"/>
        <w:rPr>
          <w:rFonts w:cs="Arial"/>
          <w:b/>
          <w:bCs/>
          <w:color w:val="000000"/>
        </w:rPr>
      </w:pPr>
      <w:r>
        <w:rPr>
          <w:rFonts w:cs="Arial"/>
          <w:b/>
          <w:bCs/>
          <w:color w:val="000000"/>
        </w:rPr>
        <w:t>&amp; T&amp;CP (Development Management Procedure) (England) Order 2015</w:t>
      </w:r>
    </w:p>
    <w:p w:rsidR="00EA7575" w:rsidRDefault="00EA7575">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rsidR="00EA7575" w:rsidRDefault="00EA7575">
      <w:pPr>
        <w:widowControl w:val="0"/>
        <w:autoSpaceDE w:val="0"/>
        <w:autoSpaceDN w:val="0"/>
        <w:adjustRightInd w:val="0"/>
        <w:rPr>
          <w:rFonts w:cs="Arial"/>
          <w:b/>
          <w:bCs/>
          <w:color w:val="000000"/>
        </w:rPr>
      </w:pPr>
    </w:p>
    <w:p w:rsidR="00EA7575" w:rsidRDefault="00EA7575">
      <w:pPr>
        <w:widowControl w:val="0"/>
        <w:autoSpaceDE w:val="0"/>
        <w:autoSpaceDN w:val="0"/>
        <w:adjustRightInd w:val="0"/>
        <w:rPr>
          <w:rFonts w:cs="Arial"/>
          <w:color w:val="000000"/>
        </w:rPr>
      </w:pPr>
      <w:r>
        <w:rPr>
          <w:rFonts w:cs="Arial"/>
          <w:b/>
          <w:bCs/>
          <w:color w:val="000000"/>
        </w:rPr>
        <w:t>MILL HOUSE, 58 STALLARD STREET, TROWBRIDGE, WILTS, BA14 8HH</w:t>
      </w:r>
    </w:p>
    <w:p w:rsidR="00EA7575" w:rsidRDefault="00EA7575">
      <w:pPr>
        <w:widowControl w:val="0"/>
        <w:autoSpaceDE w:val="0"/>
        <w:autoSpaceDN w:val="0"/>
        <w:adjustRightInd w:val="0"/>
        <w:rPr>
          <w:rFonts w:cs="Arial"/>
          <w:color w:val="000000"/>
        </w:rPr>
      </w:pPr>
      <w:r>
        <w:rPr>
          <w:rFonts w:cs="Arial"/>
          <w:b/>
          <w:bCs/>
          <w:color w:val="000000"/>
        </w:rPr>
        <w:t>Application Nos PL/2023/01871</w:t>
      </w:r>
      <w:r>
        <w:rPr>
          <w:rFonts w:cs="Arial"/>
          <w:color w:val="000000"/>
        </w:rPr>
        <w:t xml:space="preserve"> </w:t>
      </w:r>
      <w:r>
        <w:rPr>
          <w:rFonts w:cs="Arial"/>
          <w:b/>
          <w:bCs/>
          <w:color w:val="000000"/>
        </w:rPr>
        <w:t>&amp; PL/2022/02557</w:t>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r>
        <w:rPr>
          <w:rFonts w:cs="Arial"/>
          <w:color w:val="000000"/>
        </w:rPr>
        <w:t>Thank you for your letters of 7 March 2023 regarding the above applications for listed building consent and planning permission. On the basis of the information available to date, we offer the following advice to assist your authority in determining the applications.</w:t>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b/>
          <w:bCs/>
          <w:color w:val="000000"/>
        </w:rPr>
      </w:pPr>
      <w:r>
        <w:rPr>
          <w:rFonts w:cs="Arial"/>
          <w:b/>
          <w:bCs/>
          <w:color w:val="000000"/>
        </w:rPr>
        <w:t>Historic England Advice</w:t>
      </w:r>
    </w:p>
    <w:p w:rsidR="00EA7575" w:rsidRDefault="00EA7575">
      <w:pPr>
        <w:widowControl w:val="0"/>
        <w:autoSpaceDE w:val="0"/>
        <w:autoSpaceDN w:val="0"/>
        <w:adjustRightInd w:val="0"/>
        <w:spacing w:line="252" w:lineRule="auto"/>
        <w:rPr>
          <w:rFonts w:cs="Arial"/>
          <w:i/>
          <w:iCs/>
          <w:color w:val="000000"/>
          <w:u w:val="single"/>
        </w:rPr>
      </w:pPr>
    </w:p>
    <w:p w:rsidR="00EA7575" w:rsidRDefault="00EA7575">
      <w:pPr>
        <w:widowControl w:val="0"/>
        <w:autoSpaceDE w:val="0"/>
        <w:autoSpaceDN w:val="0"/>
        <w:adjustRightInd w:val="0"/>
        <w:spacing w:line="252" w:lineRule="auto"/>
        <w:rPr>
          <w:rFonts w:cs="Arial"/>
          <w:i/>
          <w:iCs/>
          <w:color w:val="000000"/>
          <w:u w:val="single"/>
        </w:rPr>
      </w:pPr>
      <w:r>
        <w:rPr>
          <w:rFonts w:cs="Arial"/>
          <w:i/>
          <w:iCs/>
          <w:color w:val="000000"/>
          <w:u w:val="single"/>
        </w:rPr>
        <w:t>Significance of the designated heritage asset</w:t>
      </w:r>
    </w:p>
    <w:p w:rsidR="00EA7575" w:rsidRDefault="00EA7575">
      <w:pPr>
        <w:widowControl w:val="0"/>
        <w:autoSpaceDE w:val="0"/>
        <w:autoSpaceDN w:val="0"/>
        <w:adjustRightInd w:val="0"/>
        <w:spacing w:line="252" w:lineRule="auto"/>
        <w:rPr>
          <w:rFonts w:cs="Arial"/>
          <w:i/>
          <w:iCs/>
          <w:color w:val="000000"/>
          <w:u w:val="single"/>
        </w:rPr>
      </w:pPr>
    </w:p>
    <w:p w:rsidR="00EA7575" w:rsidRDefault="00EA7575">
      <w:pPr>
        <w:widowControl w:val="0"/>
        <w:autoSpaceDE w:val="0"/>
        <w:autoSpaceDN w:val="0"/>
        <w:adjustRightInd w:val="0"/>
        <w:spacing w:line="252" w:lineRule="auto"/>
        <w:rPr>
          <w:rFonts w:cs="Arial"/>
          <w:color w:val="000000"/>
        </w:rPr>
      </w:pPr>
      <w:r>
        <w:rPr>
          <w:rFonts w:cs="Arial"/>
          <w:color w:val="000000"/>
        </w:rPr>
        <w:t xml:space="preserve">Located within the historic centre of Trowbridge and the homonymous Conservation Area, Mill House is a remnant of the Clarks Mill complex, formerly known as Studley Mill. </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With their scale, design and materiality so strikingly different form the rest of the Conservation area, the buildings of this complex and other industrial groups nearby are a clear, if deteriorating, link to the town’s industrial prosperity through the woollen’s cloth manufacturing, in the late 18</w:t>
      </w:r>
      <w:r>
        <w:rPr>
          <w:rFonts w:cs="Arial"/>
          <w:color w:val="000000"/>
          <w:vertAlign w:val="superscript"/>
        </w:rPr>
        <w:t>th</w:t>
      </w:r>
      <w:r>
        <w:rPr>
          <w:rFonts w:cs="Arial"/>
          <w:color w:val="000000"/>
        </w:rPr>
        <w:t xml:space="preserve"> and 19</w:t>
      </w:r>
      <w:r>
        <w:rPr>
          <w:rFonts w:cs="Arial"/>
          <w:color w:val="000000"/>
          <w:vertAlign w:val="superscript"/>
        </w:rPr>
        <w:t>th</w:t>
      </w:r>
      <w:r>
        <w:rPr>
          <w:rFonts w:cs="Arial"/>
          <w:color w:val="000000"/>
        </w:rPr>
        <w:t xml:space="preserve"> century. </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Mill House, formerly known as Bridge House, was built in the early 19</w:t>
      </w:r>
      <w:r>
        <w:rPr>
          <w:rFonts w:cs="Arial"/>
          <w:color w:val="000000"/>
          <w:vertAlign w:val="superscript"/>
        </w:rPr>
        <w:t>th</w:t>
      </w:r>
      <w:r>
        <w:rPr>
          <w:rFonts w:cs="Arial"/>
          <w:color w:val="000000"/>
        </w:rPr>
        <w:t xml:space="preserve"> century as the accommodation for the Clarks’ family. </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 xml:space="preserve">It was strategically located between the railway and the River Biss, just after the bridge, along the wide Stallard Street, which provides the western approach to the town.  </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Although altered and extended at different times, as well as damaged by an arson attach and during the war, the House still retains some of its late Georgian fabric and style in some of the brickwork, its sash windows, the chamfered stone quoins and the elaborate compositions of its doorcases. Internally less fabric survives, although the list description notes the presence of historic plaster and an original staircase with panelled and reeded ends to the steps and the moulded handrail.</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Because of its evidential value and historic and architectural interest, Mill House has been designated as grade II* listde building.</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i/>
          <w:iCs/>
          <w:color w:val="000000"/>
          <w:u w:val="single"/>
        </w:rPr>
      </w:pPr>
      <w:r>
        <w:rPr>
          <w:rFonts w:cs="Arial"/>
          <w:i/>
          <w:iCs/>
          <w:color w:val="000000"/>
          <w:u w:val="single"/>
        </w:rPr>
        <w:t>Impact of the Proposals</w:t>
      </w:r>
    </w:p>
    <w:p w:rsidR="00EA7575" w:rsidRDefault="00EA7575">
      <w:pPr>
        <w:widowControl w:val="0"/>
        <w:autoSpaceDE w:val="0"/>
        <w:autoSpaceDN w:val="0"/>
        <w:adjustRightInd w:val="0"/>
        <w:spacing w:line="252" w:lineRule="auto"/>
        <w:rPr>
          <w:rFonts w:cs="Arial"/>
          <w:i/>
          <w:iCs/>
          <w:color w:val="000000"/>
          <w:u w:val="single"/>
        </w:rPr>
      </w:pPr>
    </w:p>
    <w:p w:rsidR="00EA7575" w:rsidRDefault="00EA7575">
      <w:pPr>
        <w:widowControl w:val="0"/>
        <w:autoSpaceDE w:val="0"/>
        <w:autoSpaceDN w:val="0"/>
        <w:adjustRightInd w:val="0"/>
        <w:spacing w:line="252" w:lineRule="auto"/>
        <w:rPr>
          <w:rFonts w:cs="Arial"/>
          <w:color w:val="000000"/>
        </w:rPr>
      </w:pPr>
      <w:r>
        <w:rPr>
          <w:rFonts w:cs="Arial"/>
          <w:color w:val="000000"/>
        </w:rPr>
        <w:t>The site benefits from an existing consent for the creation of 3 houses within the existing Mill House.</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Following the discovery on site of the foundation of the 19</w:t>
      </w:r>
      <w:r>
        <w:rPr>
          <w:rFonts w:cs="Arial"/>
          <w:color w:val="000000"/>
          <w:vertAlign w:val="superscript"/>
        </w:rPr>
        <w:t>th</w:t>
      </w:r>
      <w:r>
        <w:rPr>
          <w:rFonts w:cs="Arial"/>
          <w:color w:val="000000"/>
        </w:rPr>
        <w:t xml:space="preserve"> century structure and further research, the current application seeks consent for the rebuilding of the lost ranges of Mill House to house 8 further residential units.</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We welcome the approach of re-establishing a courtyard arrangement for Mill House by re-building the lost ranges.</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 xml:space="preserve">However, in our opinion, the application lacks the level of details sufficient to understand the relationship of the proposed ranges to their historic precedents, both in terms of construction approach, depth, architectural treatment of the elevations and roof form and junctions. </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In particular, it would be important to know and show:</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ind w:left="720" w:hanging="360"/>
        <w:rPr>
          <w:rFonts w:cs="Arial"/>
          <w:color w:val="000000"/>
        </w:rPr>
      </w:pPr>
      <w:r>
        <w:rPr>
          <w:rFonts w:cs="Arial"/>
          <w:color w:val="000000"/>
        </w:rPr>
        <w:t>·</w:t>
      </w:r>
      <w:r>
        <w:rPr>
          <w:rFonts w:cs="Arial"/>
          <w:color w:val="000000"/>
        </w:rPr>
        <w:tab/>
        <w:t>how the archaeological evidence has informed the alignment and depth of the new ranges</w:t>
      </w:r>
    </w:p>
    <w:p w:rsidR="00EA7575" w:rsidRDefault="00EA7575">
      <w:pPr>
        <w:widowControl w:val="0"/>
        <w:autoSpaceDE w:val="0"/>
        <w:autoSpaceDN w:val="0"/>
        <w:adjustRightInd w:val="0"/>
        <w:spacing w:line="252" w:lineRule="auto"/>
        <w:ind w:left="720" w:hanging="360"/>
        <w:rPr>
          <w:rFonts w:cs="Arial"/>
          <w:color w:val="000000"/>
        </w:rPr>
      </w:pPr>
      <w:r>
        <w:rPr>
          <w:rFonts w:cs="Arial"/>
          <w:color w:val="000000"/>
        </w:rPr>
        <w:t>·</w:t>
      </w:r>
      <w:r>
        <w:rPr>
          <w:rFonts w:cs="Arial"/>
          <w:color w:val="000000"/>
        </w:rPr>
        <w:tab/>
        <w:t>the construction approach and related structural assessment of the proposed new ranges at foundation level and the proposed treatment for the existing foundations</w:t>
      </w:r>
    </w:p>
    <w:p w:rsidR="00EA7575" w:rsidRDefault="00EA7575">
      <w:pPr>
        <w:widowControl w:val="0"/>
        <w:autoSpaceDE w:val="0"/>
        <w:autoSpaceDN w:val="0"/>
        <w:adjustRightInd w:val="0"/>
        <w:spacing w:line="252" w:lineRule="auto"/>
        <w:ind w:left="720" w:hanging="360"/>
        <w:rPr>
          <w:rFonts w:cs="Arial"/>
          <w:color w:val="000000"/>
        </w:rPr>
      </w:pPr>
      <w:r>
        <w:rPr>
          <w:rFonts w:cs="Arial"/>
          <w:color w:val="000000"/>
        </w:rPr>
        <w:t>·</w:t>
      </w:r>
      <w:r>
        <w:rPr>
          <w:rFonts w:cs="Arial"/>
          <w:color w:val="000000"/>
        </w:rPr>
        <w:tab/>
        <w:t xml:space="preserve">the details of the architectural treatment for each elevation. A thorough heritage statement should clearly evidence how the new design is based on historic research and informed by the need to re-stablish a sense of hierarchy and proportion between the different aspects of the house. For example, if, as suggested, the main elevation of the historic Mill House was its riverside aspect, then the proposed terrace housing treatment suggested in the drawings would not be considered acceptable. </w:t>
      </w:r>
    </w:p>
    <w:p w:rsidR="00EA7575" w:rsidRDefault="00EA7575">
      <w:pPr>
        <w:widowControl w:val="0"/>
        <w:autoSpaceDE w:val="0"/>
        <w:autoSpaceDN w:val="0"/>
        <w:adjustRightInd w:val="0"/>
        <w:spacing w:line="252" w:lineRule="auto"/>
        <w:ind w:left="720" w:hanging="360"/>
        <w:rPr>
          <w:rFonts w:cs="Arial"/>
          <w:color w:val="000000"/>
        </w:rPr>
      </w:pPr>
      <w:r>
        <w:rPr>
          <w:rFonts w:cs="Arial"/>
          <w:color w:val="000000"/>
        </w:rPr>
        <w:t>·</w:t>
      </w:r>
      <w:r>
        <w:rPr>
          <w:rFonts w:cs="Arial"/>
          <w:color w:val="000000"/>
        </w:rPr>
        <w:tab/>
        <w:t xml:space="preserve">the details of rooves’ form at junctions and materiality. It would be important to consider for instance the structural implications of uneven loadings if one side of a roof is recovered in stone tiles and the opposite slope in lighter plain clay tiles. </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i/>
          <w:iCs/>
          <w:color w:val="000000"/>
          <w:u w:val="single"/>
        </w:rPr>
      </w:pPr>
      <w:r>
        <w:rPr>
          <w:rFonts w:cs="Arial"/>
          <w:i/>
          <w:iCs/>
          <w:color w:val="000000"/>
          <w:u w:val="single"/>
        </w:rPr>
        <w:t>Historic England's  Position</w:t>
      </w:r>
    </w:p>
    <w:p w:rsidR="00EA7575" w:rsidRDefault="00EA7575">
      <w:pPr>
        <w:widowControl w:val="0"/>
        <w:autoSpaceDE w:val="0"/>
        <w:autoSpaceDN w:val="0"/>
        <w:adjustRightInd w:val="0"/>
        <w:spacing w:line="252" w:lineRule="auto"/>
        <w:rPr>
          <w:rFonts w:cs="Arial"/>
          <w:i/>
          <w:iCs/>
          <w:color w:val="000000"/>
          <w:u w:val="single"/>
        </w:rPr>
      </w:pPr>
    </w:p>
    <w:p w:rsidR="00EA7575" w:rsidRDefault="00EA7575">
      <w:pPr>
        <w:widowControl w:val="0"/>
        <w:autoSpaceDE w:val="0"/>
        <w:autoSpaceDN w:val="0"/>
        <w:adjustRightInd w:val="0"/>
        <w:spacing w:line="252" w:lineRule="auto"/>
        <w:rPr>
          <w:rFonts w:cs="Arial"/>
          <w:color w:val="000000"/>
        </w:rPr>
      </w:pPr>
      <w:r>
        <w:rPr>
          <w:rFonts w:cs="Arial"/>
          <w:color w:val="000000"/>
        </w:rPr>
        <w:t>Historic England does not object to the principle of rebuilding Mill House’s lost ranges along its historic footprint.</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However, the application would benefit from a higher level of detailing to ensure the new development’s design is of a high enough quality to enhance the significance of the designated asset and the character of the Conservation Area.</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Ideally, we would ask for this proposal to be reviewed along the lines set out above at application stage.</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However, should Wiltshire Council consider the level of information received acceptable at this stage, we would recommend that the elements highlighted above are dealt with as pre-commencement conditions, and we would like to be re-consulted at that stage.</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We are content to defer to the advice of your own conservation specialist with respect to the other details relating to masonry and structural repairs, including detailed specifications, method statements and samples of materials.</w:t>
      </w:r>
    </w:p>
    <w:p w:rsidR="00EA7575" w:rsidRDefault="00EA7575">
      <w:pPr>
        <w:widowControl w:val="0"/>
        <w:autoSpaceDE w:val="0"/>
        <w:autoSpaceDN w:val="0"/>
        <w:adjustRightInd w:val="0"/>
        <w:spacing w:line="252" w:lineRule="auto"/>
        <w:rPr>
          <w:rFonts w:cs="Arial"/>
          <w:color w:val="000000"/>
        </w:rPr>
      </w:pPr>
    </w:p>
    <w:p w:rsidR="00EA7575" w:rsidRDefault="00EA7575">
      <w:pPr>
        <w:widowControl w:val="0"/>
        <w:autoSpaceDE w:val="0"/>
        <w:autoSpaceDN w:val="0"/>
        <w:adjustRightInd w:val="0"/>
        <w:spacing w:line="252" w:lineRule="auto"/>
        <w:rPr>
          <w:rFonts w:cs="Arial"/>
          <w:color w:val="000000"/>
        </w:rPr>
      </w:pPr>
      <w:r>
        <w:rPr>
          <w:rFonts w:cs="Arial"/>
          <w:color w:val="000000"/>
        </w:rPr>
        <w:t>On a different note, following our site visit we note that the list entry, dating form 1976, would benefit from revision. We would recommend that, at some stage, the applicants apply for a Listing Enhancement to reflect the research that has been completed. Details of that process can be found on Historic England’s web page (https://historicengland.org.uk/services-skills/our-planning-services/enhanced-advisory-services/listing-enhancement/).</w:t>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b/>
          <w:bCs/>
          <w:color w:val="000000"/>
        </w:rPr>
      </w:pPr>
      <w:r>
        <w:rPr>
          <w:rFonts w:cs="Arial"/>
          <w:b/>
          <w:bCs/>
          <w:color w:val="000000"/>
        </w:rPr>
        <w:t>Recommendation</w:t>
      </w:r>
    </w:p>
    <w:p w:rsidR="00EA7575" w:rsidRDefault="00EA7575">
      <w:pPr>
        <w:widowControl w:val="0"/>
        <w:autoSpaceDE w:val="0"/>
        <w:autoSpaceDN w:val="0"/>
        <w:adjustRightInd w:val="0"/>
        <w:rPr>
          <w:rFonts w:cs="Arial"/>
          <w:b/>
          <w:bCs/>
          <w:color w:val="000000"/>
        </w:rPr>
      </w:pPr>
    </w:p>
    <w:p w:rsidR="00EA7575" w:rsidRDefault="00EA7575">
      <w:pPr>
        <w:widowControl w:val="0"/>
        <w:autoSpaceDE w:val="0"/>
        <w:autoSpaceDN w:val="0"/>
        <w:adjustRightInd w:val="0"/>
        <w:rPr>
          <w:rFonts w:cs="Arial"/>
          <w:color w:val="000000"/>
        </w:rPr>
      </w:pPr>
      <w:r>
        <w:rPr>
          <w:rFonts w:cs="Arial"/>
          <w:color w:val="000000"/>
        </w:rPr>
        <w:t>Historic England has no objection to the applications on heritage grounds.</w:t>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r>
        <w:rPr>
          <w:rFonts w:cs="Arial"/>
          <w:color w:val="000000"/>
        </w:rPr>
        <w:t>In determining these applications you should bear in mind the statutory duty of  sections 16(2) and 66(1) of the Planning (Listed Buildings and Conservation Areas) Act 1990 to have special regard to the desirability of preserving listed buildings or their setting or any features of special architectural or historic interest which they possess.</w:t>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r>
        <w:rPr>
          <w:rFonts w:cs="Arial"/>
          <w:color w:val="000000"/>
        </w:rPr>
        <w:t>Your authority should take these representations into account in determining the applications. If there are any material changes to the proposals, or you would like further advice, please contact us. Please advise us of the decisions in due course.</w:t>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r>
        <w:rPr>
          <w:rFonts w:cs="Arial"/>
          <w:color w:val="000000"/>
        </w:rPr>
        <w:t>Yours sincerely</w:t>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r>
        <w:rPr>
          <w:rFonts w:cs="Arial"/>
          <w:b/>
          <w:bCs/>
          <w:color w:val="000000"/>
        </w:rPr>
        <w:t>Alessandra</w:t>
      </w:r>
      <w:r>
        <w:rPr>
          <w:rFonts w:cs="Arial"/>
          <w:color w:val="000000"/>
        </w:rPr>
        <w:t xml:space="preserve"> </w:t>
      </w:r>
      <w:r>
        <w:rPr>
          <w:rFonts w:cs="Arial"/>
          <w:b/>
          <w:bCs/>
          <w:color w:val="000000"/>
        </w:rPr>
        <w:t>Perrone</w:t>
      </w:r>
    </w:p>
    <w:p w:rsidR="00EA7575" w:rsidRDefault="00EA7575">
      <w:pPr>
        <w:widowControl w:val="0"/>
        <w:autoSpaceDE w:val="0"/>
        <w:autoSpaceDN w:val="0"/>
        <w:adjustRightInd w:val="0"/>
        <w:rPr>
          <w:rFonts w:cs="Arial"/>
          <w:color w:val="000000"/>
        </w:rPr>
      </w:pPr>
      <w:r>
        <w:rPr>
          <w:rFonts w:cs="Arial"/>
          <w:color w:val="000000"/>
        </w:rPr>
        <w:t>Assistant Inspector of Historic Buildings and Areas</w:t>
      </w:r>
    </w:p>
    <w:p w:rsidR="00EA7575" w:rsidRDefault="00EA7575">
      <w:pPr>
        <w:widowControl w:val="0"/>
        <w:autoSpaceDE w:val="0"/>
        <w:autoSpaceDN w:val="0"/>
        <w:adjustRightInd w:val="0"/>
        <w:rPr>
          <w:rFonts w:cs="Arial"/>
          <w:color w:val="000000"/>
        </w:rPr>
      </w:pPr>
      <w:r>
        <w:rPr>
          <w:rFonts w:cs="Arial"/>
          <w:color w:val="000000"/>
        </w:rPr>
        <w:t>E-mail: alessandra.perrone@HistoricEngland.org.uk</w:t>
      </w: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color w:val="000000"/>
        </w:rPr>
      </w:pPr>
    </w:p>
    <w:p w:rsidR="00EA7575" w:rsidRDefault="00EA7575">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575" w:rsidRDefault="00EA7575">
      <w:r>
        <w:separator/>
      </w:r>
    </w:p>
  </w:endnote>
  <w:endnote w:type="continuationSeparator" w:id="0">
    <w:p w:rsidR="00EA7575" w:rsidRDefault="00EA7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7pt;height:31.3pt;visibility:visible">
                <v:imagedata r:id="rId1" o:title=""/>
              </v:shape>
            </w:pict>
          </w:r>
        </w:p>
      </w:tc>
      <w:tc>
        <w:tcPr>
          <w:tcW w:w="7152" w:type="dxa"/>
          <w:shd w:val="clear" w:color="auto" w:fill="auto"/>
          <w:noWrap/>
          <w:tcMar>
            <w:left w:w="0" w:type="dxa"/>
            <w:right w:w="0" w:type="dxa"/>
          </w:tcMar>
          <w:vAlign w:val="center"/>
        </w:tcPr>
        <w:p w:rsidR="00EA7575" w:rsidRDefault="00EA7575">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EA7575" w:rsidRDefault="00EA7575">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rsidR="00EA7575" w:rsidRDefault="00EA7575">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rsidR="00EA7575" w:rsidRDefault="00EA7575">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55pt;height:31.3pt">
                <v:imagedata r:id="rId2" o:title=""/>
              </v:shape>
              <o:OLEObject Type="Embed" ProgID="PBrush" ShapeID="_x0000_i1027" DrawAspect="Content" ObjectID="_1742043925" r:id="rId3"/>
            </w:object>
          </w:r>
        </w:p>
      </w:tc>
    </w:tr>
    <w:tr w:rsidR="00B722B7" w:rsidRPr="002A71E7" w:rsidTr="000C0BC9">
      <w:trPr>
        <w:cantSplit/>
        <w:trHeight w:val="57"/>
        <w:jc w:val="center"/>
      </w:trPr>
      <w:tc>
        <w:tcPr>
          <w:tcW w:w="9860" w:type="dxa"/>
          <w:gridSpan w:val="3"/>
          <w:shd w:val="clear" w:color="auto" w:fill="auto"/>
          <w:noWrap/>
          <w:vAlign w:val="center"/>
        </w:tcPr>
        <w:p w:rsidR="00EA7575" w:rsidRDefault="00EA7575">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EA7575" w:rsidRDefault="00EA7575">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575" w:rsidRDefault="00EA7575">
      <w:r>
        <w:separator/>
      </w:r>
    </w:p>
  </w:footnote>
  <w:footnote w:type="continuationSeparator" w:id="0">
    <w:p w:rsidR="00EA7575" w:rsidRDefault="00EA7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45pt;height:64.7pt;visibility:visible">
                <v:imagedata r:id="rId1" o:title=""/>
              </v:shape>
            </w:pict>
          </w:r>
          <w:r w:rsidR="008E0A03">
            <w:br/>
          </w:r>
          <w:bookmarkStart w:id="2" w:name="region_header"/>
          <w:bookmarkEnd w:id="2"/>
          <w:r w:rsidR="00EA7575">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9FFRs5jLGsAhqBy7DVQ9G7ksVZMnaZ8NAvySYN8MFs9F6Ri9PG25gwRHU67MDAT9ORt0T0FdwRSj//h+wlgVIQ==" w:salt="vhgeuqQFvt6aOBCgg9pXIA=="/>
  <w:zoom w:percent="14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sDmTOZL2XsKtrZ+7o7ST4+wSk/H7S6cUYBUcoXlJUI8SxZd/s7yrIq0KY0L0zT2pvfICDJF1sbQWTscjrKE3KA==" w:salt="wDHde5rIBzLfAPnpmQQi3A=="/>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A7575"/>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D6673C1-9DD6-49A9-93A9-07C960BF6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0FCA2-DC71-48DF-B83C-77FF4FB8A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950</Words>
  <Characters>5417</Characters>
  <Application>Microsoft Office Word</Application>
  <DocSecurity>12</DocSecurity>
  <Lines>45</Lines>
  <Paragraphs>12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Perrone, Alessandra</dc:creator>
  <cp:keywords/>
  <cp:lastModifiedBy>Perrone, Alessandra</cp:lastModifiedBy>
  <cp:revision>1</cp:revision>
  <cp:lastPrinted>2005-06-27T13:47:00Z</cp:lastPrinted>
  <dcterms:created xsi:type="dcterms:W3CDTF">2023-04-03T15:19:00Z</dcterms:created>
  <dcterms:modified xsi:type="dcterms:W3CDTF">2023-04-03T15:19:00Z</dcterms:modified>
</cp:coreProperties>
</file>